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87" w:type="dxa"/>
        <w:tblInd w:w="96" w:type="dxa"/>
        <w:tblLayout w:type="fixed"/>
        <w:tblLook w:val="04A0" w:firstRow="1" w:lastRow="0" w:firstColumn="1" w:lastColumn="0" w:noHBand="0" w:noVBand="1"/>
      </w:tblPr>
      <w:tblGrid>
        <w:gridCol w:w="1997"/>
        <w:gridCol w:w="7938"/>
        <w:gridCol w:w="283"/>
        <w:gridCol w:w="2976"/>
        <w:gridCol w:w="804"/>
        <w:gridCol w:w="189"/>
      </w:tblGrid>
      <w:tr w:rsidR="00732BB5" w:rsidTr="00F64171">
        <w:trPr>
          <w:gridAfter w:val="1"/>
          <w:wAfter w:w="189" w:type="dxa"/>
          <w:trHeight w:val="770"/>
        </w:trPr>
        <w:tc>
          <w:tcPr>
            <w:tcW w:w="13998" w:type="dxa"/>
            <w:gridSpan w:val="5"/>
            <w:tcBorders>
              <w:top w:val="nil"/>
              <w:left w:val="nil"/>
              <w:bottom w:val="single" w:sz="4" w:space="0" w:color="auto"/>
              <w:right w:val="nil"/>
            </w:tcBorders>
            <w:vAlign w:val="center"/>
            <w:hideMark/>
          </w:tcPr>
          <w:p w:rsidR="00732BB5" w:rsidRDefault="00732BB5" w:rsidP="00732BB5">
            <w:pPr>
              <w:widowControl/>
              <w:jc w:val="left"/>
              <w:rPr>
                <w:rFonts w:ascii="黑体" w:eastAsia="黑体" w:hAnsi="黑体"/>
                <w:color w:val="000000"/>
                <w:kern w:val="0"/>
                <w:sz w:val="32"/>
                <w:szCs w:val="32"/>
              </w:rPr>
            </w:pPr>
            <w:r w:rsidRPr="00732BB5">
              <w:rPr>
                <w:rFonts w:ascii="黑体" w:eastAsia="黑体" w:hAnsi="黑体" w:hint="eastAsia"/>
                <w:color w:val="000000"/>
                <w:kern w:val="0"/>
                <w:sz w:val="32"/>
                <w:szCs w:val="32"/>
              </w:rPr>
              <w:t>附件</w:t>
            </w:r>
          </w:p>
          <w:p w:rsidR="00732BB5" w:rsidRPr="00167611" w:rsidRDefault="00732BB5" w:rsidP="00AF172C">
            <w:pPr>
              <w:widowControl/>
              <w:jc w:val="center"/>
              <w:rPr>
                <w:rFonts w:eastAsia="方正小标宋简体"/>
                <w:color w:val="000000"/>
                <w:kern w:val="0"/>
                <w:sz w:val="40"/>
                <w:szCs w:val="40"/>
              </w:rPr>
            </w:pPr>
            <w:r w:rsidRPr="00167611">
              <w:rPr>
                <w:rFonts w:eastAsia="方正小标宋简体"/>
                <w:color w:val="000000"/>
                <w:kern w:val="0"/>
                <w:sz w:val="40"/>
                <w:szCs w:val="40"/>
              </w:rPr>
              <w:t>2022</w:t>
            </w:r>
            <w:r w:rsidR="00AF172C" w:rsidRPr="00167611">
              <w:rPr>
                <w:rFonts w:eastAsia="方正小标宋简体"/>
                <w:color w:val="000000"/>
                <w:kern w:val="0"/>
                <w:sz w:val="40"/>
                <w:szCs w:val="40"/>
              </w:rPr>
              <w:t>—</w:t>
            </w:r>
            <w:r w:rsidRPr="00167611">
              <w:rPr>
                <w:rFonts w:eastAsia="方正小标宋简体"/>
                <w:color w:val="000000"/>
                <w:kern w:val="0"/>
                <w:sz w:val="40"/>
                <w:szCs w:val="40"/>
              </w:rPr>
              <w:t>2024</w:t>
            </w:r>
            <w:r w:rsidRPr="00167611">
              <w:rPr>
                <w:rFonts w:eastAsia="方正小标宋简体"/>
                <w:color w:val="000000"/>
                <w:kern w:val="0"/>
                <w:sz w:val="40"/>
                <w:szCs w:val="40"/>
              </w:rPr>
              <w:t>年促进残疾人就业三年行动方案工作目标任务落实分解表</w:t>
            </w:r>
          </w:p>
        </w:tc>
      </w:tr>
      <w:tr w:rsidR="00732BB5" w:rsidTr="00F64171">
        <w:trPr>
          <w:gridAfter w:val="1"/>
          <w:wAfter w:w="189" w:type="dxa"/>
          <w:trHeight w:val="485"/>
        </w:trPr>
        <w:tc>
          <w:tcPr>
            <w:tcW w:w="199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宋体" w:hAnsi="宋体" w:cs="宋体"/>
                <w:b/>
                <w:bCs/>
                <w:color w:val="000000"/>
                <w:kern w:val="0"/>
                <w:sz w:val="24"/>
              </w:rPr>
            </w:pPr>
            <w:r>
              <w:rPr>
                <w:rFonts w:ascii="宋体" w:hAnsi="宋体" w:cs="宋体" w:hint="eastAsia"/>
                <w:b/>
                <w:bCs/>
                <w:color w:val="000000"/>
                <w:kern w:val="0"/>
                <w:sz w:val="24"/>
              </w:rPr>
              <w:t>内容</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宋体" w:hAnsi="宋体" w:cs="宋体"/>
                <w:b/>
                <w:bCs/>
                <w:color w:val="000000"/>
                <w:kern w:val="0"/>
                <w:sz w:val="24"/>
              </w:rPr>
            </w:pPr>
            <w:r>
              <w:rPr>
                <w:rFonts w:ascii="宋体" w:hAnsi="宋体" w:cs="宋体" w:hint="eastAsia"/>
                <w:b/>
                <w:bCs/>
                <w:color w:val="000000"/>
                <w:kern w:val="0"/>
                <w:sz w:val="24"/>
              </w:rPr>
              <w:t>工作任务目标</w:t>
            </w:r>
          </w:p>
        </w:tc>
        <w:tc>
          <w:tcPr>
            <w:tcW w:w="3259"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宋体" w:hAnsi="宋体" w:cs="宋体"/>
                <w:b/>
                <w:bCs/>
                <w:color w:val="000000"/>
                <w:kern w:val="0"/>
                <w:sz w:val="24"/>
              </w:rPr>
            </w:pPr>
            <w:r>
              <w:rPr>
                <w:rFonts w:ascii="宋体" w:hAnsi="宋体" w:cs="宋体" w:hint="eastAsia"/>
                <w:b/>
                <w:bCs/>
                <w:color w:val="000000"/>
                <w:kern w:val="0"/>
                <w:sz w:val="24"/>
              </w:rPr>
              <w:t>责任部门</w:t>
            </w:r>
          </w:p>
        </w:tc>
        <w:tc>
          <w:tcPr>
            <w:tcW w:w="804"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宋体" w:hAnsi="宋体" w:cs="宋体"/>
                <w:b/>
                <w:bCs/>
                <w:color w:val="000000"/>
                <w:kern w:val="0"/>
                <w:sz w:val="24"/>
              </w:rPr>
            </w:pPr>
            <w:r>
              <w:rPr>
                <w:rFonts w:ascii="宋体" w:hAnsi="宋体" w:cs="宋体" w:hint="eastAsia"/>
                <w:b/>
                <w:bCs/>
                <w:color w:val="000000"/>
                <w:kern w:val="0"/>
                <w:sz w:val="24"/>
              </w:rPr>
              <w:t>完成</w:t>
            </w:r>
          </w:p>
          <w:p w:rsidR="00732BB5" w:rsidRDefault="00732BB5" w:rsidP="0041343B">
            <w:pPr>
              <w:widowControl/>
              <w:jc w:val="center"/>
              <w:rPr>
                <w:rFonts w:ascii="宋体" w:hAnsi="宋体" w:cs="宋体"/>
                <w:b/>
                <w:bCs/>
                <w:color w:val="000000"/>
                <w:kern w:val="0"/>
                <w:sz w:val="24"/>
              </w:rPr>
            </w:pPr>
            <w:r>
              <w:rPr>
                <w:rFonts w:ascii="宋体" w:hAnsi="宋体" w:cs="宋体" w:hint="eastAsia"/>
                <w:b/>
                <w:bCs/>
                <w:color w:val="000000"/>
                <w:kern w:val="0"/>
                <w:sz w:val="24"/>
              </w:rPr>
              <w:t>时限</w:t>
            </w:r>
          </w:p>
        </w:tc>
      </w:tr>
      <w:tr w:rsidR="00732BB5" w:rsidTr="00F64171">
        <w:trPr>
          <w:gridAfter w:val="1"/>
          <w:wAfter w:w="189" w:type="dxa"/>
          <w:trHeight w:val="527"/>
        </w:trPr>
        <w:tc>
          <w:tcPr>
            <w:tcW w:w="1997" w:type="dxa"/>
            <w:vMerge/>
            <w:tcBorders>
              <w:top w:val="single" w:sz="4" w:space="0" w:color="auto"/>
              <w:left w:val="single" w:sz="4" w:space="0" w:color="000000"/>
              <w:bottom w:val="single" w:sz="4" w:space="0" w:color="000000"/>
              <w:right w:val="single" w:sz="4" w:space="0" w:color="000000"/>
            </w:tcBorders>
            <w:vAlign w:val="center"/>
            <w:hideMark/>
          </w:tcPr>
          <w:p w:rsidR="00732BB5" w:rsidRDefault="00732BB5" w:rsidP="0041343B">
            <w:pPr>
              <w:widowControl/>
              <w:jc w:val="left"/>
              <w:rPr>
                <w:rFonts w:ascii="宋体" w:hAnsi="宋体" w:cs="宋体"/>
                <w:b/>
                <w:bCs/>
                <w:color w:val="000000"/>
                <w:kern w:val="0"/>
                <w:sz w:val="24"/>
              </w:rPr>
            </w:pPr>
          </w:p>
        </w:tc>
        <w:tc>
          <w:tcPr>
            <w:tcW w:w="7938" w:type="dxa"/>
            <w:vMerge/>
            <w:tcBorders>
              <w:top w:val="single" w:sz="4" w:space="0" w:color="000000"/>
              <w:left w:val="single" w:sz="4" w:space="0" w:color="000000"/>
              <w:bottom w:val="single" w:sz="4" w:space="0" w:color="000000"/>
              <w:right w:val="single" w:sz="4" w:space="0" w:color="000000"/>
            </w:tcBorders>
            <w:vAlign w:val="center"/>
            <w:hideMark/>
          </w:tcPr>
          <w:p w:rsidR="00732BB5" w:rsidRDefault="00732BB5" w:rsidP="0041343B">
            <w:pPr>
              <w:widowControl/>
              <w:jc w:val="left"/>
              <w:rPr>
                <w:rFonts w:ascii="宋体" w:hAnsi="宋体" w:cs="宋体"/>
                <w:b/>
                <w:bCs/>
                <w:color w:val="000000"/>
                <w:kern w:val="0"/>
                <w:sz w:val="24"/>
              </w:rPr>
            </w:pPr>
          </w:p>
        </w:tc>
        <w:tc>
          <w:tcPr>
            <w:tcW w:w="3259" w:type="dxa"/>
            <w:gridSpan w:val="2"/>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rFonts w:ascii="宋体" w:hAnsi="宋体" w:cs="宋体"/>
                <w:b/>
                <w:bCs/>
                <w:color w:val="000000"/>
                <w:kern w:val="0"/>
                <w:sz w:val="24"/>
              </w:rPr>
            </w:pPr>
          </w:p>
        </w:tc>
        <w:tc>
          <w:tcPr>
            <w:tcW w:w="804" w:type="dxa"/>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rFonts w:ascii="宋体" w:hAnsi="宋体" w:cs="宋体"/>
                <w:b/>
                <w:bCs/>
                <w:color w:val="000000"/>
                <w:kern w:val="0"/>
                <w:sz w:val="24"/>
              </w:rPr>
            </w:pPr>
          </w:p>
        </w:tc>
      </w:tr>
      <w:tr w:rsidR="00732BB5" w:rsidTr="00F64171">
        <w:trPr>
          <w:gridAfter w:val="1"/>
          <w:wAfter w:w="189" w:type="dxa"/>
          <w:trHeight w:val="1113"/>
        </w:trPr>
        <w:tc>
          <w:tcPr>
            <w:tcW w:w="1997" w:type="dxa"/>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（一）实施机关、事业单位带头安排残疾人就业行动</w:t>
            </w:r>
          </w:p>
        </w:tc>
        <w:tc>
          <w:tcPr>
            <w:tcW w:w="7938" w:type="dxa"/>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建立残疾人就业情况统计制度，制定安排残疾人就业工作推进计划。招录、安置残疾人就业，确保按时完成规定目标。比对、核实当年录（聘）用残疾人数据，定期公示机关、事业单位安排残疾人就业情况</w:t>
            </w:r>
            <w:r>
              <w:rPr>
                <w:rFonts w:ascii="仿宋_GB2312" w:eastAsia="仿宋_GB2312" w:hAnsi="宋体" w:hint="eastAsia"/>
                <w:color w:val="000000"/>
                <w:kern w:val="0"/>
                <w:szCs w:val="21"/>
              </w:rPr>
              <w:t>。</w:t>
            </w:r>
          </w:p>
        </w:tc>
        <w:tc>
          <w:tcPr>
            <w:tcW w:w="3259" w:type="dxa"/>
            <w:gridSpan w:val="2"/>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区委组织部、区人力资源和社会保障局、区委编办、区残联等按职责分工负责</w:t>
            </w:r>
          </w:p>
        </w:tc>
        <w:tc>
          <w:tcPr>
            <w:tcW w:w="804" w:type="dxa"/>
            <w:tcBorders>
              <w:top w:val="nil"/>
              <w:left w:val="nil"/>
              <w:bottom w:val="single" w:sz="4" w:space="0" w:color="000000"/>
              <w:right w:val="single" w:sz="4" w:space="0" w:color="000000"/>
            </w:tcBorders>
            <w:vAlign w:val="center"/>
            <w:hideMark/>
          </w:tcPr>
          <w:p w:rsidR="00732BB5" w:rsidRDefault="00732BB5" w:rsidP="00732BB5">
            <w:pPr>
              <w:widowControl/>
              <w:jc w:val="center"/>
              <w:rPr>
                <w:rFonts w:ascii="仿宋_GB2312" w:eastAsia="仿宋_GB2312"/>
                <w:color w:val="000000"/>
                <w:kern w:val="0"/>
                <w:szCs w:val="21"/>
              </w:rPr>
            </w:pPr>
            <w:r>
              <w:rPr>
                <w:rFonts w:ascii="仿宋_GB2312" w:eastAsia="仿宋_GB2312" w:hint="eastAsia"/>
                <w:color w:val="000000"/>
                <w:kern w:val="0"/>
                <w:szCs w:val="21"/>
              </w:rPr>
              <w:t>全年</w:t>
            </w:r>
          </w:p>
        </w:tc>
      </w:tr>
      <w:tr w:rsidR="00732BB5" w:rsidTr="00F64171">
        <w:trPr>
          <w:gridAfter w:val="1"/>
          <w:wAfter w:w="189" w:type="dxa"/>
          <w:trHeight w:val="1176"/>
        </w:trPr>
        <w:tc>
          <w:tcPr>
            <w:tcW w:w="1997" w:type="dxa"/>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(二)实施企业安排残疾人就业行动</w:t>
            </w:r>
          </w:p>
        </w:tc>
        <w:tc>
          <w:tcPr>
            <w:tcW w:w="7938" w:type="dxa"/>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为企业搭建助残就业平台，召开企业助残就业招聘会，宣传残疾人就业政策，交流典型经验，鼓励企业广泛吸收残疾人就业。对招录的残疾人应依法签订劳动合同，实行同工同酬。建立就业会商协商机制，企业应当将按比例安排残疾人就业情况纳入企业社会责任报告或编制专项社会责任报告。</w:t>
            </w:r>
          </w:p>
        </w:tc>
        <w:tc>
          <w:tcPr>
            <w:tcW w:w="3259" w:type="dxa"/>
            <w:gridSpan w:val="2"/>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区国资局、区人力资源和社会保障局、区工业和信息化局、区残联、区民政局、区工商联按职责分工负责</w:t>
            </w:r>
          </w:p>
        </w:tc>
        <w:tc>
          <w:tcPr>
            <w:tcW w:w="804" w:type="dxa"/>
            <w:tcBorders>
              <w:top w:val="nil"/>
              <w:left w:val="nil"/>
              <w:bottom w:val="single" w:sz="4" w:space="0" w:color="000000"/>
              <w:right w:val="single" w:sz="4" w:space="0" w:color="000000"/>
            </w:tcBorders>
            <w:vAlign w:val="center"/>
            <w:hideMark/>
          </w:tcPr>
          <w:p w:rsidR="00732BB5" w:rsidRDefault="00732BB5" w:rsidP="00732BB5">
            <w:pPr>
              <w:widowControl/>
              <w:jc w:val="center"/>
              <w:rPr>
                <w:rFonts w:ascii="仿宋_GB2312" w:eastAsia="仿宋_GB2312"/>
                <w:color w:val="000000"/>
                <w:kern w:val="0"/>
                <w:szCs w:val="21"/>
              </w:rPr>
            </w:pPr>
            <w:r>
              <w:rPr>
                <w:rFonts w:ascii="仿宋_GB2312" w:eastAsia="仿宋_GB2312" w:hint="eastAsia"/>
                <w:color w:val="000000"/>
                <w:kern w:val="0"/>
                <w:szCs w:val="21"/>
              </w:rPr>
              <w:t>全年</w:t>
            </w:r>
          </w:p>
        </w:tc>
      </w:tr>
      <w:tr w:rsidR="00732BB5" w:rsidTr="00F64171">
        <w:trPr>
          <w:gridAfter w:val="1"/>
          <w:wAfter w:w="189" w:type="dxa"/>
          <w:trHeight w:val="1210"/>
        </w:trPr>
        <w:tc>
          <w:tcPr>
            <w:tcW w:w="1997" w:type="dxa"/>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(三)实施残疾人组织助残就业行动</w:t>
            </w:r>
          </w:p>
        </w:tc>
        <w:tc>
          <w:tcPr>
            <w:tcW w:w="7938" w:type="dxa"/>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发挥各级各类残疾人协会、助残社会组织、残疾人亲友和残疾人就业创业带头人等作用,带动辐射更多残疾人就业创业。总结典型和经验，进一步发挥残疾人创业就业服务平台功能作用,培育引导助残社会组织，满足残疾人多层次、个性化、类别化需求。要广泛动员社会力量，开展就业主题的公益慈善项目和活动。</w:t>
            </w:r>
          </w:p>
        </w:tc>
        <w:tc>
          <w:tcPr>
            <w:tcW w:w="3259" w:type="dxa"/>
            <w:gridSpan w:val="2"/>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区残联按职责分工负责</w:t>
            </w:r>
          </w:p>
        </w:tc>
        <w:tc>
          <w:tcPr>
            <w:tcW w:w="804" w:type="dxa"/>
            <w:tcBorders>
              <w:top w:val="nil"/>
              <w:left w:val="nil"/>
              <w:bottom w:val="single" w:sz="4" w:space="0" w:color="000000"/>
              <w:right w:val="single" w:sz="4" w:space="0" w:color="000000"/>
            </w:tcBorders>
            <w:vAlign w:val="center"/>
            <w:hideMark/>
          </w:tcPr>
          <w:p w:rsidR="00732BB5" w:rsidRDefault="00732BB5" w:rsidP="00732BB5">
            <w:pPr>
              <w:widowControl/>
              <w:jc w:val="center"/>
              <w:rPr>
                <w:rFonts w:ascii="仿宋_GB2312" w:eastAsia="仿宋_GB2312"/>
                <w:color w:val="000000"/>
                <w:kern w:val="0"/>
                <w:szCs w:val="21"/>
              </w:rPr>
            </w:pPr>
            <w:r>
              <w:rPr>
                <w:rFonts w:ascii="仿宋_GB2312" w:eastAsia="仿宋_GB2312" w:hint="eastAsia"/>
                <w:color w:val="000000"/>
                <w:kern w:val="0"/>
                <w:szCs w:val="21"/>
              </w:rPr>
              <w:t>全年</w:t>
            </w:r>
          </w:p>
        </w:tc>
      </w:tr>
      <w:tr w:rsidR="00732BB5" w:rsidTr="00F64171">
        <w:trPr>
          <w:gridAfter w:val="1"/>
          <w:wAfter w:w="189" w:type="dxa"/>
          <w:trHeight w:val="698"/>
        </w:trPr>
        <w:tc>
          <w:tcPr>
            <w:tcW w:w="1997" w:type="dxa"/>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(四)实施新就业形态促进残疾人就业行动</w:t>
            </w:r>
          </w:p>
        </w:tc>
        <w:tc>
          <w:tcPr>
            <w:tcW w:w="7938" w:type="dxa"/>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加强残疾人电</w:t>
            </w:r>
            <w:proofErr w:type="gramStart"/>
            <w:r>
              <w:rPr>
                <w:rFonts w:ascii="仿宋_GB2312" w:eastAsia="仿宋_GB2312" w:hint="eastAsia"/>
                <w:color w:val="000000"/>
                <w:kern w:val="0"/>
                <w:szCs w:val="21"/>
              </w:rPr>
              <w:t>商就业</w:t>
            </w:r>
            <w:proofErr w:type="gramEnd"/>
            <w:r>
              <w:rPr>
                <w:rFonts w:ascii="仿宋_GB2312" w:eastAsia="仿宋_GB2312" w:hint="eastAsia"/>
                <w:color w:val="000000"/>
                <w:kern w:val="0"/>
                <w:szCs w:val="21"/>
              </w:rPr>
              <w:t>培训。组织一批头部平台、电商、快递等新就业形态企业对接残疾人就业需求，在网络零售、云服务、直播带货、物流快递等新就业形态领域帮助残疾人按比例就业、自主就业创业和灵活就业。对残疾人开展直播、短视频、供应链等相关知识培训，发掘和培育残疾人电商直播人才。鼓励对在平台就业创业的残疾人适当放宽从业要求，减免加盟、增值服务等费用，给予宣传推广、派单倾斜、免费培训等就业帮扶。</w:t>
            </w:r>
          </w:p>
        </w:tc>
        <w:tc>
          <w:tcPr>
            <w:tcW w:w="3259" w:type="dxa"/>
            <w:gridSpan w:val="2"/>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区商务局、区工业和信息化局、区残联按职责分工负责</w:t>
            </w:r>
          </w:p>
        </w:tc>
        <w:tc>
          <w:tcPr>
            <w:tcW w:w="804" w:type="dxa"/>
            <w:tcBorders>
              <w:top w:val="nil"/>
              <w:left w:val="nil"/>
              <w:bottom w:val="single" w:sz="4" w:space="0" w:color="000000"/>
              <w:right w:val="single" w:sz="4" w:space="0" w:color="000000"/>
            </w:tcBorders>
            <w:vAlign w:val="center"/>
            <w:hideMark/>
          </w:tcPr>
          <w:p w:rsidR="00732BB5" w:rsidRDefault="00732BB5" w:rsidP="00732BB5">
            <w:pPr>
              <w:widowControl/>
              <w:jc w:val="center"/>
              <w:rPr>
                <w:rFonts w:ascii="仿宋_GB2312" w:eastAsia="仿宋_GB2312"/>
                <w:color w:val="000000"/>
                <w:kern w:val="0"/>
                <w:szCs w:val="21"/>
              </w:rPr>
            </w:pPr>
            <w:r>
              <w:rPr>
                <w:rFonts w:ascii="仿宋_GB2312" w:eastAsia="仿宋_GB2312" w:hint="eastAsia"/>
                <w:color w:val="000000"/>
                <w:kern w:val="0"/>
                <w:szCs w:val="21"/>
              </w:rPr>
              <w:t>全年</w:t>
            </w:r>
          </w:p>
        </w:tc>
      </w:tr>
      <w:tr w:rsidR="00732BB5" w:rsidTr="00F64171">
        <w:trPr>
          <w:trHeight w:val="726"/>
        </w:trPr>
        <w:tc>
          <w:tcPr>
            <w:tcW w:w="14187" w:type="dxa"/>
            <w:gridSpan w:val="6"/>
            <w:tcBorders>
              <w:top w:val="nil"/>
              <w:left w:val="nil"/>
              <w:bottom w:val="single" w:sz="4" w:space="0" w:color="auto"/>
              <w:right w:val="nil"/>
            </w:tcBorders>
            <w:vAlign w:val="center"/>
            <w:hideMark/>
          </w:tcPr>
          <w:p w:rsidR="00732BB5" w:rsidRPr="00167611" w:rsidRDefault="00732BB5" w:rsidP="00AF172C">
            <w:pPr>
              <w:widowControl/>
              <w:jc w:val="center"/>
              <w:rPr>
                <w:rFonts w:eastAsia="方正小标宋简体"/>
                <w:color w:val="000000"/>
                <w:kern w:val="0"/>
                <w:sz w:val="40"/>
                <w:szCs w:val="40"/>
              </w:rPr>
            </w:pPr>
            <w:r w:rsidRPr="00167611">
              <w:rPr>
                <w:rFonts w:eastAsia="方正小标宋简体"/>
                <w:color w:val="000000"/>
                <w:kern w:val="0"/>
                <w:sz w:val="40"/>
                <w:szCs w:val="40"/>
              </w:rPr>
              <w:lastRenderedPageBreak/>
              <w:t xml:space="preserve"> 2022</w:t>
            </w:r>
            <w:r w:rsidR="00AF172C" w:rsidRPr="00167611">
              <w:rPr>
                <w:rFonts w:eastAsia="方正小标宋简体"/>
                <w:color w:val="000000"/>
                <w:kern w:val="0"/>
                <w:sz w:val="40"/>
                <w:szCs w:val="40"/>
              </w:rPr>
              <w:t>—</w:t>
            </w:r>
            <w:r w:rsidRPr="00167611">
              <w:rPr>
                <w:rFonts w:eastAsia="方正小标宋简体"/>
                <w:color w:val="000000"/>
                <w:kern w:val="0"/>
                <w:sz w:val="40"/>
                <w:szCs w:val="40"/>
              </w:rPr>
              <w:t>2024</w:t>
            </w:r>
            <w:r w:rsidRPr="00167611">
              <w:rPr>
                <w:rFonts w:eastAsia="方正小标宋简体"/>
                <w:color w:val="000000"/>
                <w:kern w:val="0"/>
                <w:sz w:val="40"/>
                <w:szCs w:val="40"/>
              </w:rPr>
              <w:t>年促进残疾人就业三年行动方案工作目标任务落实分解表</w:t>
            </w:r>
          </w:p>
        </w:tc>
      </w:tr>
      <w:tr w:rsidR="00732BB5" w:rsidTr="00F64171">
        <w:trPr>
          <w:trHeight w:val="458"/>
        </w:trPr>
        <w:tc>
          <w:tcPr>
            <w:tcW w:w="199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内容</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工作任务目标</w:t>
            </w:r>
          </w:p>
        </w:tc>
        <w:tc>
          <w:tcPr>
            <w:tcW w:w="297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责任部门</w:t>
            </w:r>
          </w:p>
        </w:tc>
        <w:tc>
          <w:tcPr>
            <w:tcW w:w="993"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完成</w:t>
            </w:r>
          </w:p>
          <w:p w:rsidR="00732BB5" w:rsidRDefault="00732BB5" w:rsidP="0041343B">
            <w:pPr>
              <w:widowControl/>
              <w:jc w:val="center"/>
              <w:rPr>
                <w:b/>
                <w:bCs/>
                <w:color w:val="000000"/>
                <w:kern w:val="0"/>
                <w:sz w:val="24"/>
              </w:rPr>
            </w:pPr>
            <w:r>
              <w:rPr>
                <w:rFonts w:hint="eastAsia"/>
                <w:b/>
                <w:bCs/>
                <w:color w:val="000000"/>
                <w:kern w:val="0"/>
                <w:sz w:val="24"/>
              </w:rPr>
              <w:t>时限</w:t>
            </w:r>
          </w:p>
        </w:tc>
      </w:tr>
      <w:tr w:rsidR="00732BB5" w:rsidTr="00F64171">
        <w:trPr>
          <w:trHeight w:val="312"/>
        </w:trPr>
        <w:tc>
          <w:tcPr>
            <w:tcW w:w="1997" w:type="dxa"/>
            <w:vMerge/>
            <w:tcBorders>
              <w:top w:val="single" w:sz="4" w:space="0" w:color="auto"/>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2976" w:type="dxa"/>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r>
      <w:tr w:rsidR="00732BB5" w:rsidTr="00F64171">
        <w:trPr>
          <w:trHeight w:val="1740"/>
        </w:trPr>
        <w:tc>
          <w:tcPr>
            <w:tcW w:w="199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(五)实施就业困难残疾人就业援助行动</w:t>
            </w:r>
          </w:p>
        </w:tc>
        <w:tc>
          <w:tcPr>
            <w:tcW w:w="8221" w:type="dxa"/>
            <w:gridSpan w:val="2"/>
            <w:tcBorders>
              <w:top w:val="single" w:sz="4" w:space="0" w:color="auto"/>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对就业困难残疾人开展调查摸底和走访，精准掌握辖区内就业困难残疾人的状况和需求。借助各级</w:t>
            </w:r>
            <w:r>
              <w:rPr>
                <w:rFonts w:ascii="仿宋_GB2312" w:eastAsia="仿宋_GB2312"/>
                <w:color w:val="000000"/>
                <w:kern w:val="0"/>
                <w:szCs w:val="21"/>
              </w:rPr>
              <w:t>“</w:t>
            </w:r>
            <w:r>
              <w:rPr>
                <w:rFonts w:ascii="仿宋_GB2312" w:eastAsia="仿宋_GB2312" w:hint="eastAsia"/>
                <w:color w:val="000000"/>
                <w:kern w:val="0"/>
                <w:szCs w:val="21"/>
              </w:rPr>
              <w:t>阳光家园</w:t>
            </w:r>
            <w:r>
              <w:rPr>
                <w:rFonts w:ascii="仿宋_GB2312" w:eastAsia="仿宋_GB2312"/>
                <w:color w:val="000000"/>
                <w:kern w:val="0"/>
                <w:szCs w:val="21"/>
              </w:rPr>
              <w:t>”</w:t>
            </w:r>
            <w:r>
              <w:rPr>
                <w:rFonts w:ascii="仿宋_GB2312" w:eastAsia="仿宋_GB2312" w:hint="eastAsia"/>
                <w:color w:val="000000"/>
                <w:kern w:val="0"/>
                <w:szCs w:val="21"/>
              </w:rPr>
              <w:t>、</w:t>
            </w:r>
            <w:r>
              <w:rPr>
                <w:rFonts w:ascii="仿宋_GB2312" w:eastAsia="仿宋_GB2312"/>
                <w:color w:val="000000"/>
                <w:kern w:val="0"/>
                <w:szCs w:val="21"/>
              </w:rPr>
              <w:t>“</w:t>
            </w:r>
            <w:r>
              <w:rPr>
                <w:rFonts w:ascii="仿宋_GB2312" w:eastAsia="仿宋_GB2312" w:hint="eastAsia"/>
                <w:color w:val="000000"/>
                <w:kern w:val="0"/>
                <w:szCs w:val="21"/>
              </w:rPr>
              <w:t>残疾人之家</w:t>
            </w:r>
            <w:r>
              <w:rPr>
                <w:rFonts w:ascii="仿宋_GB2312" w:eastAsia="仿宋_GB2312"/>
                <w:color w:val="000000"/>
                <w:kern w:val="0"/>
                <w:szCs w:val="21"/>
              </w:rPr>
              <w:t>”</w:t>
            </w:r>
            <w:r>
              <w:rPr>
                <w:rFonts w:ascii="仿宋_GB2312" w:eastAsia="仿宋_GB2312" w:hint="eastAsia"/>
                <w:color w:val="000000"/>
                <w:kern w:val="0"/>
                <w:szCs w:val="21"/>
              </w:rPr>
              <w:t>、残疾人托养机构、辅助性就业机构、残疾人职业康复机构等开展辅助性就业。区、镇街残联要推动开展残疾人辅助性就业劳动项目调配工作，开发、收集、储备劳动项目。持续开展</w:t>
            </w:r>
            <w:r>
              <w:rPr>
                <w:rFonts w:ascii="仿宋_GB2312" w:eastAsia="仿宋_GB2312"/>
                <w:color w:val="000000"/>
                <w:kern w:val="0"/>
                <w:szCs w:val="21"/>
              </w:rPr>
              <w:t>“</w:t>
            </w:r>
            <w:r>
              <w:rPr>
                <w:rFonts w:ascii="仿宋_GB2312" w:eastAsia="仿宋_GB2312" w:hint="eastAsia"/>
                <w:color w:val="000000"/>
                <w:kern w:val="0"/>
                <w:szCs w:val="21"/>
              </w:rPr>
              <w:t>就业援助月</w:t>
            </w:r>
            <w:r>
              <w:rPr>
                <w:rFonts w:ascii="仿宋_GB2312" w:eastAsia="仿宋_GB2312"/>
                <w:color w:val="000000"/>
                <w:kern w:val="0"/>
                <w:szCs w:val="21"/>
              </w:rPr>
              <w:t>”</w:t>
            </w:r>
            <w:r>
              <w:rPr>
                <w:rFonts w:ascii="仿宋_GB2312" w:eastAsia="仿宋_GB2312" w:hint="eastAsia"/>
                <w:color w:val="000000"/>
                <w:kern w:val="0"/>
                <w:szCs w:val="21"/>
              </w:rPr>
              <w:t>专项服务活动，将符合条件的就业困难残疾人全部纳入就业援助范围，并提供有针对性的重点帮扶。统筹用好现有公益性岗位，促进符合条件的残疾人就业创业。</w:t>
            </w:r>
          </w:p>
        </w:tc>
        <w:tc>
          <w:tcPr>
            <w:tcW w:w="2976" w:type="dxa"/>
            <w:tcBorders>
              <w:top w:val="single" w:sz="4" w:space="0" w:color="auto"/>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区残联、区人力资源和社会保障局、区民政局按职责分工负责</w:t>
            </w:r>
          </w:p>
        </w:tc>
        <w:tc>
          <w:tcPr>
            <w:tcW w:w="993" w:type="dxa"/>
            <w:gridSpan w:val="2"/>
            <w:tcBorders>
              <w:top w:val="single" w:sz="4" w:space="0" w:color="auto"/>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r w:rsidR="00732BB5" w:rsidTr="00F64171">
        <w:trPr>
          <w:trHeight w:val="1848"/>
        </w:trPr>
        <w:tc>
          <w:tcPr>
            <w:tcW w:w="1997" w:type="dxa"/>
            <w:tcBorders>
              <w:top w:val="nil"/>
              <w:left w:val="single" w:sz="4" w:space="0" w:color="000000"/>
              <w:bottom w:val="nil"/>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（六)实施农村残疾人就业扶持行动</w:t>
            </w:r>
          </w:p>
        </w:tc>
        <w:tc>
          <w:tcPr>
            <w:tcW w:w="8221" w:type="dxa"/>
            <w:gridSpan w:val="2"/>
            <w:tcBorders>
              <w:top w:val="single" w:sz="4" w:space="0" w:color="000000"/>
              <w:left w:val="nil"/>
              <w:bottom w:val="nil"/>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落实巩固拓展残疾人脱贫攻坚成果同乡村振兴有效衔接各项政策，将农村残疾人家庭作为重点人群纳入防止返贫监测帮扶排查对</w:t>
            </w:r>
            <w:proofErr w:type="gramStart"/>
            <w:r>
              <w:rPr>
                <w:rFonts w:ascii="仿宋_GB2312" w:eastAsia="仿宋_GB2312" w:hint="eastAsia"/>
                <w:color w:val="000000"/>
                <w:kern w:val="0"/>
                <w:szCs w:val="21"/>
              </w:rPr>
              <w:t>象</w:t>
            </w:r>
            <w:proofErr w:type="gramEnd"/>
            <w:r>
              <w:rPr>
                <w:rFonts w:ascii="仿宋_GB2312" w:eastAsia="仿宋_GB2312" w:hint="eastAsia"/>
                <w:color w:val="000000"/>
                <w:kern w:val="0"/>
                <w:szCs w:val="21"/>
              </w:rPr>
              <w:t>，将识别认定的防止返贫监测对象及就业需求录入全国防返贫监测信息系统，帮助纳入防止返贫监测对象的残疾人及其家庭成员就业创业，坚守不发生规模性返贫底线。对符合条件的就业帮扶车间、残疾人扶贫基地和农村残疾人就业基地积极予以支持。扶持农村残疾人或其家庭成员从事种植、养殖、加工、乡村旅游、农村电商、农村寄递物流等行业，开展送岗入户、送技术下乡活动，以先进的农业科技助力农村残疾人就业增收。</w:t>
            </w:r>
          </w:p>
        </w:tc>
        <w:tc>
          <w:tcPr>
            <w:tcW w:w="2976" w:type="dxa"/>
            <w:tcBorders>
              <w:top w:val="nil"/>
              <w:left w:val="nil"/>
              <w:bottom w:val="nil"/>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区农业农村局、区人力资源和社会保障局、区残联、区财政局、区文化旅游广电局按职责分工负责</w:t>
            </w:r>
          </w:p>
        </w:tc>
        <w:tc>
          <w:tcPr>
            <w:tcW w:w="993" w:type="dxa"/>
            <w:gridSpan w:val="2"/>
            <w:tcBorders>
              <w:top w:val="nil"/>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r w:rsidR="00732BB5" w:rsidTr="00F64171">
        <w:trPr>
          <w:trHeight w:val="273"/>
        </w:trPr>
        <w:tc>
          <w:tcPr>
            <w:tcW w:w="19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(七)实施残疾人大学生就业帮扶行动</w:t>
            </w:r>
          </w:p>
        </w:tc>
        <w:tc>
          <w:tcPr>
            <w:tcW w:w="8221" w:type="dxa"/>
            <w:gridSpan w:val="2"/>
            <w:tcBorders>
              <w:top w:val="single" w:sz="4" w:space="0" w:color="auto"/>
              <w:left w:val="nil"/>
              <w:bottom w:val="single" w:sz="4" w:space="0" w:color="auto"/>
              <w:right w:val="single" w:sz="4" w:space="0" w:color="auto"/>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教育、残联、人力资源和社会保障等部门密切配合，把残疾人高校毕业生就业服务纳入各部门年度重点工作。建立部门之间残疾人大学生信息交换机制，准确掌握在校残疾人大学生数据。做好残疾人大学生就业相关政策宣讲、技能培训、岗位推介、择业观教育等工作，落实各类就业扶持政策。将残疾人高校毕业生作为重点对象纳入机关、事业单位、企业安排残疾人就业行动。将残疾人高校毕业生就业纳入百日千万网络招聘专项行动、大中城市联合招聘高校毕业生专场招聘、全国人力资源市场高校毕业生就业服务周等活动。有条件的镇街可采用政府购买服务方式开展残疾人大学生就业服务。</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区教育局、区人力资源和社会保障局、区财政局、区残联、</w:t>
            </w:r>
            <w:proofErr w:type="gramStart"/>
            <w:r>
              <w:rPr>
                <w:rFonts w:ascii="仿宋_GB2312" w:eastAsia="仿宋_GB2312" w:hint="eastAsia"/>
                <w:color w:val="000000"/>
                <w:kern w:val="0"/>
                <w:szCs w:val="21"/>
              </w:rPr>
              <w:t>各镇街按职责</w:t>
            </w:r>
            <w:proofErr w:type="gramEnd"/>
            <w:r>
              <w:rPr>
                <w:rFonts w:ascii="仿宋_GB2312" w:eastAsia="仿宋_GB2312" w:hint="eastAsia"/>
                <w:color w:val="000000"/>
                <w:kern w:val="0"/>
                <w:szCs w:val="21"/>
              </w:rPr>
              <w:t>分工负责</w:t>
            </w:r>
          </w:p>
        </w:tc>
        <w:tc>
          <w:tcPr>
            <w:tcW w:w="993" w:type="dxa"/>
            <w:gridSpan w:val="2"/>
            <w:tcBorders>
              <w:top w:val="nil"/>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r w:rsidR="00732BB5" w:rsidTr="00F64171">
        <w:trPr>
          <w:trHeight w:val="726"/>
        </w:trPr>
        <w:tc>
          <w:tcPr>
            <w:tcW w:w="14187" w:type="dxa"/>
            <w:gridSpan w:val="6"/>
            <w:tcBorders>
              <w:top w:val="nil"/>
              <w:left w:val="nil"/>
              <w:bottom w:val="single" w:sz="4" w:space="0" w:color="auto"/>
              <w:right w:val="nil"/>
            </w:tcBorders>
            <w:vAlign w:val="center"/>
            <w:hideMark/>
          </w:tcPr>
          <w:p w:rsidR="00732BB5" w:rsidRPr="00167611" w:rsidRDefault="00732BB5" w:rsidP="00AF172C">
            <w:pPr>
              <w:widowControl/>
              <w:jc w:val="center"/>
              <w:rPr>
                <w:rFonts w:eastAsia="方正小标宋简体"/>
                <w:color w:val="000000"/>
                <w:kern w:val="0"/>
                <w:sz w:val="40"/>
                <w:szCs w:val="40"/>
              </w:rPr>
            </w:pPr>
            <w:bookmarkStart w:id="0" w:name="_GoBack"/>
            <w:r w:rsidRPr="00167611">
              <w:rPr>
                <w:rFonts w:eastAsia="方正小标宋简体"/>
                <w:color w:val="000000"/>
                <w:kern w:val="0"/>
                <w:sz w:val="40"/>
                <w:szCs w:val="40"/>
              </w:rPr>
              <w:lastRenderedPageBreak/>
              <w:t>2022</w:t>
            </w:r>
            <w:r w:rsidR="00AF172C" w:rsidRPr="00167611">
              <w:rPr>
                <w:rFonts w:eastAsia="方正小标宋简体"/>
                <w:color w:val="000000"/>
                <w:kern w:val="0"/>
                <w:sz w:val="40"/>
                <w:szCs w:val="40"/>
              </w:rPr>
              <w:t>—</w:t>
            </w:r>
            <w:r w:rsidRPr="00167611">
              <w:rPr>
                <w:rFonts w:eastAsia="方正小标宋简体"/>
                <w:color w:val="000000"/>
                <w:kern w:val="0"/>
                <w:sz w:val="40"/>
                <w:szCs w:val="40"/>
              </w:rPr>
              <w:t>2024</w:t>
            </w:r>
            <w:r w:rsidRPr="00167611">
              <w:rPr>
                <w:rFonts w:eastAsia="方正小标宋简体"/>
                <w:color w:val="000000"/>
                <w:kern w:val="0"/>
                <w:sz w:val="40"/>
                <w:szCs w:val="40"/>
              </w:rPr>
              <w:t>年促进残疾人就业三年行动方案工作目标任务落实分解表</w:t>
            </w:r>
            <w:bookmarkEnd w:id="0"/>
          </w:p>
        </w:tc>
      </w:tr>
      <w:tr w:rsidR="00732BB5" w:rsidTr="00F64171">
        <w:trPr>
          <w:trHeight w:val="458"/>
        </w:trPr>
        <w:tc>
          <w:tcPr>
            <w:tcW w:w="1997"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内容</w:t>
            </w:r>
          </w:p>
        </w:tc>
        <w:tc>
          <w:tcPr>
            <w:tcW w:w="82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工作任务目标</w:t>
            </w:r>
          </w:p>
        </w:tc>
        <w:tc>
          <w:tcPr>
            <w:tcW w:w="297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责任部门</w:t>
            </w:r>
          </w:p>
        </w:tc>
        <w:tc>
          <w:tcPr>
            <w:tcW w:w="993" w:type="dxa"/>
            <w:gridSpan w:val="2"/>
            <w:vMerge w:val="restart"/>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b/>
                <w:bCs/>
                <w:color w:val="000000"/>
                <w:kern w:val="0"/>
                <w:sz w:val="24"/>
              </w:rPr>
            </w:pPr>
            <w:r>
              <w:rPr>
                <w:rFonts w:hint="eastAsia"/>
                <w:b/>
                <w:bCs/>
                <w:color w:val="000000"/>
                <w:kern w:val="0"/>
                <w:sz w:val="24"/>
              </w:rPr>
              <w:t>完成</w:t>
            </w:r>
          </w:p>
          <w:p w:rsidR="00732BB5" w:rsidRDefault="00732BB5" w:rsidP="0041343B">
            <w:pPr>
              <w:widowControl/>
              <w:jc w:val="center"/>
              <w:rPr>
                <w:b/>
                <w:bCs/>
                <w:color w:val="000000"/>
                <w:kern w:val="0"/>
                <w:sz w:val="24"/>
              </w:rPr>
            </w:pPr>
            <w:r>
              <w:rPr>
                <w:rFonts w:hint="eastAsia"/>
                <w:b/>
                <w:bCs/>
                <w:color w:val="000000"/>
                <w:kern w:val="0"/>
                <w:sz w:val="24"/>
              </w:rPr>
              <w:t>时限</w:t>
            </w:r>
          </w:p>
        </w:tc>
      </w:tr>
      <w:tr w:rsidR="00732BB5" w:rsidTr="00F64171">
        <w:trPr>
          <w:trHeight w:val="312"/>
        </w:trPr>
        <w:tc>
          <w:tcPr>
            <w:tcW w:w="1997" w:type="dxa"/>
            <w:vMerge/>
            <w:tcBorders>
              <w:top w:val="single" w:sz="4" w:space="0" w:color="auto"/>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8221" w:type="dxa"/>
            <w:gridSpan w:val="2"/>
            <w:vMerge/>
            <w:tcBorders>
              <w:top w:val="single" w:sz="4" w:space="0" w:color="000000"/>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2976" w:type="dxa"/>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732BB5" w:rsidRDefault="00732BB5" w:rsidP="0041343B">
            <w:pPr>
              <w:widowControl/>
              <w:jc w:val="left"/>
              <w:rPr>
                <w:b/>
                <w:bCs/>
                <w:color w:val="000000"/>
                <w:kern w:val="0"/>
                <w:sz w:val="24"/>
              </w:rPr>
            </w:pPr>
          </w:p>
        </w:tc>
      </w:tr>
      <w:tr w:rsidR="00732BB5" w:rsidTr="00F64171">
        <w:trPr>
          <w:trHeight w:val="2449"/>
        </w:trPr>
        <w:tc>
          <w:tcPr>
            <w:tcW w:w="199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(八)实施盲人就业拓展行动</w:t>
            </w:r>
          </w:p>
        </w:tc>
        <w:tc>
          <w:tcPr>
            <w:tcW w:w="8221" w:type="dxa"/>
            <w:gridSpan w:val="2"/>
            <w:tcBorders>
              <w:top w:val="single" w:sz="4" w:space="0" w:color="auto"/>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推广落实盲人医疗按摩政策，打通盲人医疗按摩人员就业的行政审批通道，提高我区盲人医疗按摩人员在医院、社区卫生服务机构等医疗机构就业率，帮助盲人平等享受医疗机构就业权利。支持盲人医疗按摩人员开办医疗按摩所。制定盲人保健按摩管理制度和行业标准，发挥各级盲人保健按摩实训基地作用，规范开展盲人保健按摩培训和继续教育。积极开展促进盲人按摩就业系列活动、盲人按摩职业培训和认证工作，推进盲人保健按摩行业的规范化、标准化、专业化、品牌化发展。推动开发网络客服、钢琴调音师、直播带货、有声演播、音乐制作等适合盲人的就业岗位，拓展盲人在互联网服务、文化艺术、心理卫生等领域的就业渠道。</w:t>
            </w:r>
          </w:p>
        </w:tc>
        <w:tc>
          <w:tcPr>
            <w:tcW w:w="2976" w:type="dxa"/>
            <w:tcBorders>
              <w:top w:val="single" w:sz="4" w:space="0" w:color="auto"/>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区残联、区卫健局、区人力资源和社会保障局、区商务局按职责分工负责</w:t>
            </w:r>
          </w:p>
        </w:tc>
        <w:tc>
          <w:tcPr>
            <w:tcW w:w="993" w:type="dxa"/>
            <w:gridSpan w:val="2"/>
            <w:tcBorders>
              <w:top w:val="single" w:sz="4" w:space="0" w:color="auto"/>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r w:rsidR="00732BB5" w:rsidTr="00F64171">
        <w:trPr>
          <w:trHeight w:val="1451"/>
        </w:trPr>
        <w:tc>
          <w:tcPr>
            <w:tcW w:w="1997" w:type="dxa"/>
            <w:tcBorders>
              <w:top w:val="nil"/>
              <w:left w:val="single" w:sz="4" w:space="0" w:color="000000"/>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(九)实施残疾人职业技能提升行动</w:t>
            </w:r>
          </w:p>
        </w:tc>
        <w:tc>
          <w:tcPr>
            <w:tcW w:w="8221"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落实《关于印发</w:t>
            </w:r>
            <w:r>
              <w:rPr>
                <w:rFonts w:ascii="仿宋_GB2312" w:eastAsia="仿宋_GB2312"/>
                <w:color w:val="000000"/>
                <w:kern w:val="0"/>
                <w:szCs w:val="21"/>
              </w:rPr>
              <w:t>“</w:t>
            </w:r>
            <w:r>
              <w:rPr>
                <w:rFonts w:ascii="仿宋_GB2312" w:eastAsia="仿宋_GB2312" w:hint="eastAsia"/>
                <w:color w:val="000000"/>
                <w:kern w:val="0"/>
                <w:szCs w:val="21"/>
              </w:rPr>
              <w:t>十四五</w:t>
            </w:r>
            <w:r>
              <w:rPr>
                <w:rFonts w:ascii="仿宋_GB2312" w:eastAsia="仿宋_GB2312"/>
                <w:color w:val="000000"/>
                <w:kern w:val="0"/>
                <w:szCs w:val="21"/>
              </w:rPr>
              <w:t>”</w:t>
            </w:r>
            <w:r>
              <w:rPr>
                <w:rFonts w:ascii="仿宋_GB2312" w:eastAsia="仿宋_GB2312" w:hint="eastAsia"/>
                <w:color w:val="000000"/>
                <w:kern w:val="0"/>
                <w:szCs w:val="21"/>
              </w:rPr>
              <w:t>残疾人就业技能提升计划的通知》（残联发〔2022〕13号），引导职业院校开发面向残疾人的就业创业培训项目，分级分类开展精准培训。依托各级各类残疾人职业培训基地、职业院校、职业培训机构等，组织开展就业技能培训、岗位技能提升培训和创业培训，提高培训后就业转化率和稳定率。定期组织开</w:t>
            </w:r>
            <w:proofErr w:type="gramStart"/>
            <w:r>
              <w:rPr>
                <w:rFonts w:ascii="仿宋_GB2312" w:eastAsia="仿宋_GB2312" w:hint="eastAsia"/>
                <w:color w:val="000000"/>
                <w:kern w:val="0"/>
                <w:szCs w:val="21"/>
              </w:rPr>
              <w:t>展区级</w:t>
            </w:r>
            <w:proofErr w:type="gramEnd"/>
            <w:r>
              <w:rPr>
                <w:rFonts w:ascii="仿宋_GB2312" w:eastAsia="仿宋_GB2312" w:hint="eastAsia"/>
                <w:color w:val="000000"/>
                <w:kern w:val="0"/>
                <w:szCs w:val="21"/>
              </w:rPr>
              <w:t>残疾人职业技能竞赛和培训成果交流活动。</w:t>
            </w:r>
          </w:p>
        </w:tc>
        <w:tc>
          <w:tcPr>
            <w:tcW w:w="2976" w:type="dxa"/>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区残联、区人力资源和社会保障局、区财政局按职责分工负责</w:t>
            </w:r>
          </w:p>
        </w:tc>
        <w:tc>
          <w:tcPr>
            <w:tcW w:w="993" w:type="dxa"/>
            <w:gridSpan w:val="2"/>
            <w:tcBorders>
              <w:top w:val="nil"/>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r w:rsidR="00732BB5" w:rsidTr="00F64171">
        <w:trPr>
          <w:trHeight w:val="1769"/>
        </w:trPr>
        <w:tc>
          <w:tcPr>
            <w:tcW w:w="1997" w:type="dxa"/>
            <w:tcBorders>
              <w:top w:val="nil"/>
              <w:left w:val="single" w:sz="4" w:space="0" w:color="000000"/>
              <w:bottom w:val="single" w:sz="4" w:space="0" w:color="000000"/>
              <w:right w:val="single" w:sz="4" w:space="0" w:color="000000"/>
            </w:tcBorders>
            <w:shd w:val="clear" w:color="auto" w:fill="FFFFFF"/>
            <w:vAlign w:val="center"/>
          </w:tcPr>
          <w:p w:rsidR="00732BB5" w:rsidRDefault="00732BB5" w:rsidP="0041343B">
            <w:pPr>
              <w:widowControl/>
              <w:jc w:val="center"/>
              <w:rPr>
                <w:rFonts w:ascii="仿宋_GB2312" w:eastAsia="仿宋_GB2312"/>
                <w:color w:val="000000"/>
                <w:kern w:val="0"/>
                <w:szCs w:val="21"/>
              </w:rPr>
            </w:pPr>
          </w:p>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(十)实施残疾人就业服务能力提升行动</w:t>
            </w:r>
          </w:p>
        </w:tc>
        <w:tc>
          <w:tcPr>
            <w:tcW w:w="8221" w:type="dxa"/>
            <w:gridSpan w:val="2"/>
            <w:tcBorders>
              <w:top w:val="single" w:sz="4" w:space="0" w:color="000000"/>
              <w:left w:val="nil"/>
              <w:bottom w:val="single" w:sz="4" w:space="0" w:color="000000"/>
              <w:right w:val="single" w:sz="4" w:space="0" w:color="000000"/>
            </w:tcBorders>
            <w:shd w:val="clear" w:color="auto" w:fill="FFFFFF"/>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加强和改进残疾人就业服务。各镇街对就业年龄段未就业残疾人至少进行一次基础信息核对，对其中有就业需求的残疾人至少进行一次就业需求登记、开展一次就业服务。在有专项资金的前提下，开展残疾人就业服务机构规范化建设，建立健全就业服务内容、标准、流程等规章制度，增强就业服务质量效益。将残疾人就业纳入各级公共就业服务机构服务范围，有条件的设立专门窗口，为残疾人提供公共就业服务。定期举办残疾人就业服务交流和竞赛。</w:t>
            </w:r>
          </w:p>
        </w:tc>
        <w:tc>
          <w:tcPr>
            <w:tcW w:w="2976" w:type="dxa"/>
            <w:tcBorders>
              <w:top w:val="nil"/>
              <w:left w:val="nil"/>
              <w:bottom w:val="single" w:sz="4" w:space="0" w:color="000000"/>
              <w:right w:val="single" w:sz="4" w:space="0" w:color="000000"/>
            </w:tcBorders>
            <w:shd w:val="clear" w:color="auto" w:fill="FFFFFF"/>
            <w:vAlign w:val="center"/>
            <w:hideMark/>
          </w:tcPr>
          <w:p w:rsidR="00732BB5" w:rsidRDefault="00732BB5" w:rsidP="0041343B">
            <w:pPr>
              <w:widowControl/>
              <w:jc w:val="center"/>
              <w:rPr>
                <w:rFonts w:ascii="仿宋_GB2312" w:eastAsia="仿宋_GB2312"/>
                <w:color w:val="000000"/>
                <w:kern w:val="0"/>
                <w:szCs w:val="21"/>
              </w:rPr>
            </w:pPr>
            <w:r>
              <w:rPr>
                <w:rFonts w:ascii="仿宋_GB2312" w:eastAsia="仿宋_GB2312" w:hint="eastAsia"/>
                <w:color w:val="000000"/>
                <w:kern w:val="0"/>
                <w:szCs w:val="21"/>
              </w:rPr>
              <w:t>区残联、区人力资源和社会保障局、</w:t>
            </w:r>
            <w:proofErr w:type="gramStart"/>
            <w:r>
              <w:rPr>
                <w:rFonts w:ascii="仿宋_GB2312" w:eastAsia="仿宋_GB2312" w:hint="eastAsia"/>
                <w:color w:val="000000"/>
                <w:kern w:val="0"/>
                <w:szCs w:val="21"/>
              </w:rPr>
              <w:t>各镇街按职责</w:t>
            </w:r>
            <w:proofErr w:type="gramEnd"/>
            <w:r>
              <w:rPr>
                <w:rFonts w:ascii="仿宋_GB2312" w:eastAsia="仿宋_GB2312" w:hint="eastAsia"/>
                <w:color w:val="000000"/>
                <w:kern w:val="0"/>
                <w:szCs w:val="21"/>
              </w:rPr>
              <w:t>分工负责</w:t>
            </w:r>
          </w:p>
        </w:tc>
        <w:tc>
          <w:tcPr>
            <w:tcW w:w="993" w:type="dxa"/>
            <w:gridSpan w:val="2"/>
            <w:tcBorders>
              <w:top w:val="nil"/>
              <w:left w:val="nil"/>
              <w:bottom w:val="single" w:sz="4" w:space="0" w:color="000000"/>
              <w:right w:val="single" w:sz="4" w:space="0" w:color="000000"/>
            </w:tcBorders>
            <w:vAlign w:val="center"/>
            <w:hideMark/>
          </w:tcPr>
          <w:p w:rsidR="00732BB5" w:rsidRDefault="00732BB5" w:rsidP="0041343B">
            <w:pPr>
              <w:widowControl/>
              <w:jc w:val="left"/>
              <w:rPr>
                <w:rFonts w:ascii="仿宋_GB2312" w:eastAsia="仿宋_GB2312"/>
                <w:color w:val="000000"/>
                <w:kern w:val="0"/>
                <w:szCs w:val="21"/>
              </w:rPr>
            </w:pPr>
            <w:r>
              <w:rPr>
                <w:rFonts w:ascii="仿宋_GB2312" w:eastAsia="仿宋_GB2312" w:hint="eastAsia"/>
                <w:color w:val="000000"/>
                <w:kern w:val="0"/>
                <w:szCs w:val="21"/>
              </w:rPr>
              <w:t xml:space="preserve">  全年</w:t>
            </w:r>
          </w:p>
        </w:tc>
      </w:tr>
    </w:tbl>
    <w:p w:rsidR="00B83F10" w:rsidRDefault="00B83F10" w:rsidP="00F64171"/>
    <w:sectPr w:rsidR="00B83F10" w:rsidSect="00644595">
      <w:footerReference w:type="even" r:id="rId7"/>
      <w:footerReference w:type="default" r:id="rId8"/>
      <w:pgSz w:w="16838" w:h="11906" w:orient="landscape"/>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12" w:rsidRDefault="00120F12" w:rsidP="00644595">
      <w:r>
        <w:separator/>
      </w:r>
    </w:p>
  </w:endnote>
  <w:endnote w:type="continuationSeparator" w:id="0">
    <w:p w:rsidR="00120F12" w:rsidRDefault="00120F12" w:rsidP="0064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63415"/>
      <w:docPartObj>
        <w:docPartGallery w:val="Page Numbers (Bottom of Page)"/>
        <w:docPartUnique/>
      </w:docPartObj>
    </w:sdtPr>
    <w:sdtEndPr>
      <w:rPr>
        <w:rFonts w:ascii="宋体" w:hAnsi="宋体"/>
        <w:sz w:val="28"/>
        <w:szCs w:val="28"/>
      </w:rPr>
    </w:sdtEndPr>
    <w:sdtContent>
      <w:p w:rsidR="00644595" w:rsidRPr="00644595" w:rsidRDefault="00644595" w:rsidP="00644595">
        <w:pPr>
          <w:pStyle w:val="a4"/>
          <w:ind w:firstLineChars="200" w:firstLine="360"/>
          <w:rPr>
            <w:rFonts w:ascii="宋体" w:hAnsi="宋体"/>
            <w:sz w:val="28"/>
            <w:szCs w:val="28"/>
          </w:rPr>
        </w:pPr>
        <w:r w:rsidRPr="00644595">
          <w:rPr>
            <w:rFonts w:ascii="宋体" w:hAnsi="宋体"/>
            <w:sz w:val="28"/>
            <w:szCs w:val="28"/>
          </w:rPr>
          <w:fldChar w:fldCharType="begin"/>
        </w:r>
        <w:r w:rsidRPr="00644595">
          <w:rPr>
            <w:rFonts w:ascii="宋体" w:hAnsi="宋体"/>
            <w:sz w:val="28"/>
            <w:szCs w:val="28"/>
          </w:rPr>
          <w:instrText>PAGE   \* MERGEFORMAT</w:instrText>
        </w:r>
        <w:r w:rsidRPr="00644595">
          <w:rPr>
            <w:rFonts w:ascii="宋体" w:hAnsi="宋体"/>
            <w:sz w:val="28"/>
            <w:szCs w:val="28"/>
          </w:rPr>
          <w:fldChar w:fldCharType="separate"/>
        </w:r>
        <w:r w:rsidR="00167611" w:rsidRPr="00167611">
          <w:rPr>
            <w:rFonts w:ascii="宋体" w:hAnsi="宋体"/>
            <w:noProof/>
            <w:sz w:val="28"/>
            <w:szCs w:val="28"/>
            <w:lang w:val="zh-CN"/>
          </w:rPr>
          <w:t>-</w:t>
        </w:r>
        <w:r w:rsidR="00167611">
          <w:rPr>
            <w:rFonts w:ascii="宋体" w:hAnsi="宋体"/>
            <w:noProof/>
            <w:sz w:val="28"/>
            <w:szCs w:val="28"/>
          </w:rPr>
          <w:t xml:space="preserve"> 2 -</w:t>
        </w:r>
        <w:r w:rsidRPr="00644595">
          <w:rPr>
            <w:rFonts w:ascii="宋体" w:hAnsi="宋体"/>
            <w:sz w:val="28"/>
            <w:szCs w:val="28"/>
          </w:rPr>
          <w:fldChar w:fldCharType="end"/>
        </w:r>
      </w:p>
    </w:sdtContent>
  </w:sdt>
  <w:p w:rsidR="00644595" w:rsidRDefault="006445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18003"/>
      <w:docPartObj>
        <w:docPartGallery w:val="Page Numbers (Bottom of Page)"/>
        <w:docPartUnique/>
      </w:docPartObj>
    </w:sdtPr>
    <w:sdtEndPr>
      <w:rPr>
        <w:rFonts w:ascii="宋体" w:hAnsi="宋体"/>
        <w:sz w:val="28"/>
        <w:szCs w:val="28"/>
      </w:rPr>
    </w:sdtEndPr>
    <w:sdtContent>
      <w:p w:rsidR="00644595" w:rsidRPr="00644595" w:rsidRDefault="00644595" w:rsidP="00644595">
        <w:pPr>
          <w:pStyle w:val="a4"/>
          <w:ind w:right="180"/>
          <w:jc w:val="right"/>
          <w:rPr>
            <w:rFonts w:ascii="宋体" w:hAnsi="宋体"/>
            <w:sz w:val="28"/>
            <w:szCs w:val="28"/>
          </w:rPr>
        </w:pPr>
        <w:r w:rsidRPr="00644595">
          <w:rPr>
            <w:rFonts w:ascii="宋体" w:hAnsi="宋体"/>
            <w:sz w:val="28"/>
            <w:szCs w:val="28"/>
          </w:rPr>
          <w:fldChar w:fldCharType="begin"/>
        </w:r>
        <w:r w:rsidRPr="00644595">
          <w:rPr>
            <w:rFonts w:ascii="宋体" w:hAnsi="宋体"/>
            <w:sz w:val="28"/>
            <w:szCs w:val="28"/>
          </w:rPr>
          <w:instrText>PAGE   \* MERGEFORMAT</w:instrText>
        </w:r>
        <w:r w:rsidRPr="00644595">
          <w:rPr>
            <w:rFonts w:ascii="宋体" w:hAnsi="宋体"/>
            <w:sz w:val="28"/>
            <w:szCs w:val="28"/>
          </w:rPr>
          <w:fldChar w:fldCharType="separate"/>
        </w:r>
        <w:r w:rsidR="00167611" w:rsidRPr="00167611">
          <w:rPr>
            <w:rFonts w:ascii="宋体" w:hAnsi="宋体"/>
            <w:noProof/>
            <w:sz w:val="28"/>
            <w:szCs w:val="28"/>
            <w:lang w:val="zh-CN"/>
          </w:rPr>
          <w:t>-</w:t>
        </w:r>
        <w:r w:rsidR="00167611">
          <w:rPr>
            <w:rFonts w:ascii="宋体" w:hAnsi="宋体"/>
            <w:noProof/>
            <w:sz w:val="28"/>
            <w:szCs w:val="28"/>
          </w:rPr>
          <w:t xml:space="preserve"> 3 -</w:t>
        </w:r>
        <w:r w:rsidRPr="00644595">
          <w:rPr>
            <w:rFonts w:ascii="宋体" w:hAnsi="宋体"/>
            <w:sz w:val="28"/>
            <w:szCs w:val="28"/>
          </w:rPr>
          <w:fldChar w:fldCharType="end"/>
        </w:r>
      </w:p>
    </w:sdtContent>
  </w:sdt>
  <w:p w:rsidR="00644595" w:rsidRDefault="006445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12" w:rsidRDefault="00120F12" w:rsidP="00644595">
      <w:r>
        <w:separator/>
      </w:r>
    </w:p>
  </w:footnote>
  <w:footnote w:type="continuationSeparator" w:id="0">
    <w:p w:rsidR="00120F12" w:rsidRDefault="00120F12" w:rsidP="0064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F1"/>
    <w:rsid w:val="00120F12"/>
    <w:rsid w:val="00167611"/>
    <w:rsid w:val="00644595"/>
    <w:rsid w:val="00732BB5"/>
    <w:rsid w:val="008B5FF1"/>
    <w:rsid w:val="00A9429C"/>
    <w:rsid w:val="00AF172C"/>
    <w:rsid w:val="00B83F10"/>
    <w:rsid w:val="00F6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595"/>
    <w:rPr>
      <w:rFonts w:ascii="Times New Roman" w:eastAsia="宋体" w:hAnsi="Times New Roman" w:cs="Times New Roman"/>
      <w:sz w:val="18"/>
      <w:szCs w:val="18"/>
    </w:rPr>
  </w:style>
  <w:style w:type="paragraph" w:styleId="a4">
    <w:name w:val="footer"/>
    <w:basedOn w:val="a"/>
    <w:link w:val="Char0"/>
    <w:uiPriority w:val="99"/>
    <w:unhideWhenUsed/>
    <w:rsid w:val="00644595"/>
    <w:pPr>
      <w:tabs>
        <w:tab w:val="center" w:pos="4153"/>
        <w:tab w:val="right" w:pos="8306"/>
      </w:tabs>
      <w:snapToGrid w:val="0"/>
      <w:jc w:val="left"/>
    </w:pPr>
    <w:rPr>
      <w:sz w:val="18"/>
      <w:szCs w:val="18"/>
    </w:rPr>
  </w:style>
  <w:style w:type="character" w:customStyle="1" w:styleId="Char0">
    <w:name w:val="页脚 Char"/>
    <w:basedOn w:val="a0"/>
    <w:link w:val="a4"/>
    <w:uiPriority w:val="99"/>
    <w:rsid w:val="006445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4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595"/>
    <w:rPr>
      <w:rFonts w:ascii="Times New Roman" w:eastAsia="宋体" w:hAnsi="Times New Roman" w:cs="Times New Roman"/>
      <w:sz w:val="18"/>
      <w:szCs w:val="18"/>
    </w:rPr>
  </w:style>
  <w:style w:type="paragraph" w:styleId="a4">
    <w:name w:val="footer"/>
    <w:basedOn w:val="a"/>
    <w:link w:val="Char0"/>
    <w:uiPriority w:val="99"/>
    <w:unhideWhenUsed/>
    <w:rsid w:val="00644595"/>
    <w:pPr>
      <w:tabs>
        <w:tab w:val="center" w:pos="4153"/>
        <w:tab w:val="right" w:pos="8306"/>
      </w:tabs>
      <w:snapToGrid w:val="0"/>
      <w:jc w:val="left"/>
    </w:pPr>
    <w:rPr>
      <w:sz w:val="18"/>
      <w:szCs w:val="18"/>
    </w:rPr>
  </w:style>
  <w:style w:type="character" w:customStyle="1" w:styleId="Char0">
    <w:name w:val="页脚 Char"/>
    <w:basedOn w:val="a0"/>
    <w:link w:val="a4"/>
    <w:uiPriority w:val="99"/>
    <w:rsid w:val="0064459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李云霞</dc:creator>
  <cp:keywords/>
  <dc:description/>
  <cp:lastModifiedBy>8618242575959</cp:lastModifiedBy>
  <cp:revision>6</cp:revision>
  <dcterms:created xsi:type="dcterms:W3CDTF">2023-08-28T05:08:00Z</dcterms:created>
  <dcterms:modified xsi:type="dcterms:W3CDTF">2023-08-28T11:33:00Z</dcterms:modified>
</cp:coreProperties>
</file>