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21"/>
          <w:szCs w:val="24"/>
          <w:lang w:val="en-US" w:eastAsia="zh-CN" w:bidi="ar-SA"/>
        </w:rPr>
        <w:id w:val="14746439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bookmarkStart w:id="42" w:name="_GoBack"/>
          <w:bookmarkEnd w:id="42"/>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rPr>
              <w:rFonts w:hint="eastAsia" w:ascii="黑体" w:hAnsi="黑体" w:eastAsia="黑体" w:cs="黑体"/>
              <w:sz w:val="44"/>
              <w:szCs w:val="44"/>
              <w:lang w:eastAsia="zh-CN"/>
            </w:rPr>
          </w:pPr>
        </w:p>
        <w:p>
          <w:pPr>
            <w:rPr>
              <w:rFonts w:hint="eastAsia" w:ascii="黑体" w:hAnsi="黑体" w:eastAsia="黑体" w:cs="黑体"/>
              <w:sz w:val="44"/>
              <w:szCs w:val="44"/>
              <w:lang w:eastAsia="zh-CN"/>
            </w:rPr>
          </w:pPr>
        </w:p>
        <w:p>
          <w:pPr>
            <w:rPr>
              <w:rFonts w:hint="eastAsia" w:ascii="黑体" w:hAnsi="黑体" w:eastAsia="黑体" w:cs="黑体"/>
              <w:sz w:val="44"/>
              <w:szCs w:val="44"/>
              <w:lang w:eastAsia="zh-CN"/>
            </w:rPr>
          </w:pPr>
        </w:p>
        <w:p>
          <w:pPr>
            <w:rPr>
              <w:rFonts w:hint="eastAsia" w:ascii="黑体" w:hAnsi="黑体" w:eastAsia="黑体" w:cs="黑体"/>
              <w:sz w:val="44"/>
              <w:szCs w:val="44"/>
              <w:lang w:eastAsia="zh-CN"/>
            </w:rPr>
          </w:pPr>
        </w:p>
        <w:p>
          <w:pPr>
            <w:jc w:val="center"/>
            <w:rPr>
              <w:rFonts w:hint="eastAsia" w:ascii="黑体" w:hAnsi="黑体" w:eastAsia="黑体" w:cs="黑体"/>
              <w:b/>
              <w:bCs/>
              <w:sz w:val="72"/>
              <w:szCs w:val="72"/>
              <w:lang w:eastAsia="zh-CN"/>
            </w:rPr>
          </w:pPr>
          <w:r>
            <w:rPr>
              <w:rFonts w:hint="eastAsia" w:ascii="黑体" w:hAnsi="黑体" w:eastAsia="黑体" w:cs="黑体"/>
              <w:b/>
              <w:bCs/>
              <w:sz w:val="72"/>
              <w:szCs w:val="72"/>
              <w:lang w:eastAsia="zh-CN"/>
            </w:rPr>
            <w:t>振安区住房和城乡建设</w:t>
          </w:r>
        </w:p>
        <w:p>
          <w:pPr>
            <w:jc w:val="center"/>
            <w:rPr>
              <w:rFonts w:hint="eastAsia" w:ascii="黑体" w:hAnsi="黑体" w:eastAsia="黑体" w:cs="黑体"/>
              <w:b/>
              <w:bCs/>
              <w:sz w:val="72"/>
              <w:szCs w:val="72"/>
              <w:lang w:eastAsia="zh-CN"/>
            </w:rPr>
          </w:pPr>
          <w:r>
            <w:rPr>
              <w:rFonts w:hint="eastAsia" w:ascii="黑体" w:hAnsi="黑体" w:eastAsia="黑体" w:cs="黑体"/>
              <w:b/>
              <w:bCs/>
              <w:sz w:val="72"/>
              <w:szCs w:val="72"/>
              <w:lang w:eastAsia="zh-CN"/>
            </w:rPr>
            <w:t>事业“十四五”发展规划</w:t>
          </w:r>
        </w:p>
        <w:p>
          <w:pPr>
            <w:jc w:val="center"/>
            <w:rPr>
              <w:rFonts w:hint="eastAsia" w:ascii="黑体" w:hAnsi="黑体" w:eastAsia="黑体" w:cs="黑体"/>
              <w:b/>
              <w:bCs/>
              <w:sz w:val="72"/>
              <w:szCs w:val="72"/>
              <w:lang w:eastAsia="zh-CN"/>
            </w:rPr>
          </w:pPr>
        </w:p>
        <w:p>
          <w:pPr>
            <w:jc w:val="center"/>
            <w:rPr>
              <w:rFonts w:hint="eastAsia" w:ascii="黑体" w:hAnsi="黑体" w:eastAsia="黑体" w:cs="黑体"/>
              <w:b/>
              <w:bCs/>
              <w:sz w:val="72"/>
              <w:szCs w:val="72"/>
              <w:lang w:eastAsia="zh-CN"/>
            </w:rPr>
          </w:pPr>
        </w:p>
        <w:p>
          <w:pPr>
            <w:jc w:val="center"/>
            <w:rPr>
              <w:rFonts w:hint="eastAsia" w:ascii="黑体" w:hAnsi="黑体" w:eastAsia="黑体" w:cs="黑体"/>
              <w:b/>
              <w:bCs/>
              <w:sz w:val="72"/>
              <w:szCs w:val="72"/>
              <w:lang w:eastAsia="zh-CN"/>
            </w:rPr>
          </w:pPr>
        </w:p>
        <w:p>
          <w:pPr>
            <w:jc w:val="center"/>
            <w:rPr>
              <w:rFonts w:hint="eastAsia" w:ascii="黑体" w:hAnsi="黑体" w:eastAsia="黑体" w:cs="黑体"/>
              <w:b/>
              <w:bCs/>
              <w:sz w:val="72"/>
              <w:szCs w:val="72"/>
              <w:lang w:eastAsia="zh-CN"/>
            </w:rPr>
          </w:pPr>
        </w:p>
        <w:p>
          <w:pPr>
            <w:jc w:val="center"/>
            <w:rPr>
              <w:rFonts w:hint="eastAsia" w:ascii="黑体" w:hAnsi="黑体" w:eastAsia="黑体" w:cs="黑体"/>
              <w:b/>
              <w:bCs/>
              <w:sz w:val="72"/>
              <w:szCs w:val="72"/>
              <w:lang w:eastAsia="zh-CN"/>
            </w:rPr>
          </w:pPr>
        </w:p>
        <w:p>
          <w:pPr>
            <w:jc w:val="center"/>
            <w:rPr>
              <w:rFonts w:hint="default" w:ascii="黑体" w:hAnsi="黑体" w:eastAsia="黑体" w:cs="黑体"/>
              <w:b/>
              <w:bCs/>
              <w:sz w:val="52"/>
              <w:szCs w:val="52"/>
              <w:lang w:val="en-US" w:eastAsia="zh-CN"/>
            </w:rPr>
          </w:pPr>
          <w:r>
            <w:rPr>
              <w:rFonts w:hint="eastAsia" w:ascii="黑体" w:hAnsi="黑体" w:eastAsia="黑体" w:cs="黑体"/>
              <w:b/>
              <w:bCs/>
              <w:sz w:val="52"/>
              <w:szCs w:val="52"/>
              <w:lang w:val="en-US" w:eastAsia="zh-CN"/>
            </w:rPr>
            <w:t>2023年5月</w:t>
          </w: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both"/>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hint="eastAsia" w:ascii="黑体" w:hAnsi="黑体" w:eastAsia="黑体" w:cs="黑体"/>
              <w:b/>
              <w:bCs/>
              <w:sz w:val="36"/>
              <w:szCs w:val="36"/>
            </w:rPr>
          </w:pPr>
          <w:r>
            <w:rPr>
              <w:rFonts w:hint="eastAsia" w:ascii="黑体" w:hAnsi="黑体" w:eastAsia="黑体" w:cs="黑体"/>
              <w:b/>
              <w:bCs/>
              <w:sz w:val="44"/>
              <w:szCs w:val="44"/>
            </w:rPr>
            <w:t>目</w:t>
          </w:r>
          <w:r>
            <w:rPr>
              <w:rFonts w:hint="eastAsia" w:ascii="黑体" w:hAnsi="黑体" w:eastAsia="黑体" w:cs="黑体"/>
              <w:b/>
              <w:bCs/>
              <w:sz w:val="44"/>
              <w:szCs w:val="44"/>
              <w:lang w:val="en-US" w:eastAsia="zh-CN"/>
            </w:rPr>
            <w:t xml:space="preserve">    </w:t>
          </w:r>
          <w:r>
            <w:rPr>
              <w:rFonts w:hint="eastAsia" w:ascii="黑体" w:hAnsi="黑体" w:eastAsia="黑体" w:cs="黑体"/>
              <w:b/>
              <w:bCs/>
              <w:sz w:val="44"/>
              <w:szCs w:val="44"/>
            </w:rPr>
            <w:t>录</w:t>
          </w:r>
        </w:p>
        <w:p>
          <w:pPr>
            <w:pStyle w:val="5"/>
            <w:tabs>
              <w:tab w:val="right" w:leader="dot" w:pos="8306"/>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_Toc12465 </w:instrText>
          </w:r>
          <w:r>
            <w:rPr>
              <w:rFonts w:hint="eastAsia" w:ascii="黑体" w:hAnsi="黑体" w:eastAsia="黑体" w:cs="黑体"/>
              <w:sz w:val="30"/>
              <w:szCs w:val="30"/>
            </w:rPr>
            <w:fldChar w:fldCharType="separate"/>
          </w:r>
          <w:r>
            <w:rPr>
              <w:rFonts w:hint="eastAsia" w:ascii="黑体" w:hAnsi="黑体" w:eastAsia="黑体" w:cs="黑体"/>
              <w:bCs/>
              <w:kern w:val="0"/>
              <w:sz w:val="30"/>
              <w:szCs w:val="30"/>
              <w:lang w:val="en-US" w:eastAsia="zh-CN" w:bidi="ar"/>
            </w:rPr>
            <w:t>第一章  发展基础</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_Toc12465 \h </w:instrText>
          </w:r>
          <w:r>
            <w:rPr>
              <w:rFonts w:hint="eastAsia" w:ascii="黑体" w:hAnsi="黑体" w:eastAsia="黑体" w:cs="黑体"/>
              <w:sz w:val="30"/>
              <w:szCs w:val="30"/>
            </w:rPr>
            <w:fldChar w:fldCharType="separate"/>
          </w:r>
          <w:r>
            <w:rPr>
              <w:rFonts w:hint="eastAsia" w:ascii="黑体" w:hAnsi="黑体" w:eastAsia="黑体" w:cs="黑体"/>
              <w:sz w:val="30"/>
              <w:szCs w:val="30"/>
            </w:rPr>
            <w:t>1</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_Toc14878 </w:instrText>
          </w:r>
          <w:r>
            <w:rPr>
              <w:rFonts w:hint="eastAsia" w:ascii="宋体" w:hAnsi="宋体" w:eastAsia="宋体" w:cs="宋体"/>
              <w:b/>
              <w:bCs/>
              <w:sz w:val="24"/>
              <w:szCs w:val="24"/>
            </w:rPr>
            <w:fldChar w:fldCharType="separate"/>
          </w:r>
          <w:r>
            <w:rPr>
              <w:rFonts w:hint="eastAsia" w:ascii="黑体" w:hAnsi="黑体" w:eastAsia="黑体" w:cs="黑体"/>
              <w:b/>
              <w:bCs/>
              <w:kern w:val="0"/>
              <w:sz w:val="24"/>
              <w:szCs w:val="24"/>
              <w:lang w:val="en-US" w:eastAsia="zh-CN" w:bidi="ar"/>
            </w:rPr>
            <w:t>一、 “十三五”时期发展成就</w:t>
          </w:r>
          <w:r>
            <w:rPr>
              <w:b/>
              <w:bCs/>
              <w:sz w:val="24"/>
              <w:szCs w:val="24"/>
            </w:rPr>
            <w:tab/>
          </w:r>
          <w:r>
            <w:rPr>
              <w:b/>
              <w:bCs/>
              <w:sz w:val="24"/>
              <w:szCs w:val="24"/>
            </w:rPr>
            <w:fldChar w:fldCharType="begin"/>
          </w:r>
          <w:r>
            <w:rPr>
              <w:b/>
              <w:bCs/>
              <w:sz w:val="24"/>
              <w:szCs w:val="24"/>
            </w:rPr>
            <w:instrText xml:space="preserve"> PAGEREF _Toc14878 \h </w:instrText>
          </w:r>
          <w:r>
            <w:rPr>
              <w:b/>
              <w:bCs/>
              <w:sz w:val="24"/>
              <w:szCs w:val="24"/>
            </w:rPr>
            <w:fldChar w:fldCharType="separate"/>
          </w:r>
          <w:r>
            <w:rPr>
              <w:b/>
              <w:bCs/>
              <w:sz w:val="24"/>
              <w:szCs w:val="24"/>
            </w:rPr>
            <w:t>1</w:t>
          </w:r>
          <w:r>
            <w:rPr>
              <w:b/>
              <w:bCs/>
              <w:sz w:val="24"/>
              <w:szCs w:val="24"/>
            </w:rPr>
            <w:fldChar w:fldCharType="end"/>
          </w:r>
          <w:r>
            <w:rPr>
              <w:rFonts w:hint="eastAsia" w:ascii="宋体" w:hAnsi="宋体" w:eastAsia="宋体" w:cs="宋体"/>
              <w:b/>
              <w:bCs/>
              <w:sz w:val="24"/>
              <w:szCs w:val="24"/>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_Toc21419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lang w:val="en-US" w:eastAsia="zh-CN" w:bidi="ar"/>
            </w:rPr>
            <w:t>（一）房地产市场保持平稳运行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_Toc21419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_Toc29053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lang w:val="en-US" w:eastAsia="zh-CN" w:bidi="ar"/>
            </w:rPr>
            <w:t>（二）住房保障工作扎实推进</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_Toc29053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_Toc29897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lang w:val="en-US" w:eastAsia="zh-CN" w:bidi="ar"/>
            </w:rPr>
            <w:t>（三）城市基础设施得到全面提升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_Toc29897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_Toc16393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lang w:val="en-US" w:eastAsia="zh-CN" w:bidi="ar"/>
            </w:rPr>
            <w:t>（四）乡村环境得到明显改善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_Toc16393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_Toc23693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lang w:val="en-US" w:eastAsia="zh-CN" w:bidi="ar"/>
            </w:rPr>
            <w:t>（五）营商环境实现不断优化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_Toc23693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_Toc21283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lang w:val="en-US" w:eastAsia="zh-CN" w:bidi="ar"/>
            </w:rPr>
            <w:t>（六）党的建设得到全面加强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_Toc21283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_Toc30254 </w:instrText>
          </w:r>
          <w:r>
            <w:rPr>
              <w:rFonts w:hint="eastAsia" w:ascii="黑体" w:hAnsi="黑体" w:eastAsia="黑体" w:cs="黑体"/>
              <w:sz w:val="30"/>
              <w:szCs w:val="30"/>
            </w:rPr>
            <w:fldChar w:fldCharType="separate"/>
          </w:r>
          <w:r>
            <w:rPr>
              <w:rFonts w:hint="eastAsia" w:ascii="黑体" w:hAnsi="黑体" w:eastAsia="黑体" w:cs="黑体"/>
              <w:sz w:val="30"/>
              <w:szCs w:val="30"/>
              <w:lang w:val="en-US" w:eastAsia="zh-CN"/>
            </w:rPr>
            <w:t>第二章 “十四五”时期住房和城乡建设总体构想</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_Toc30254 \h </w:instrText>
          </w:r>
          <w:r>
            <w:rPr>
              <w:rFonts w:hint="eastAsia" w:ascii="黑体" w:hAnsi="黑体" w:eastAsia="黑体" w:cs="黑体"/>
              <w:sz w:val="30"/>
              <w:szCs w:val="30"/>
            </w:rPr>
            <w:fldChar w:fldCharType="separate"/>
          </w:r>
          <w:r>
            <w:rPr>
              <w:rFonts w:hint="eastAsia" w:ascii="黑体" w:hAnsi="黑体" w:eastAsia="黑体" w:cs="黑体"/>
              <w:sz w:val="30"/>
              <w:szCs w:val="30"/>
            </w:rPr>
            <w:t>8</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rPr>
            <w:fldChar w:fldCharType="begin"/>
          </w:r>
          <w:r>
            <w:rPr>
              <w:rFonts w:hint="eastAsia" w:ascii="黑体" w:hAnsi="黑体" w:eastAsia="黑体" w:cs="黑体"/>
              <w:b/>
              <w:bCs/>
              <w:sz w:val="24"/>
              <w:szCs w:val="24"/>
            </w:rPr>
            <w:instrText xml:space="preserve"> HYPERLINK \l _Toc30488 </w:instrText>
          </w:r>
          <w:r>
            <w:rPr>
              <w:rFonts w:hint="eastAsia" w:ascii="黑体" w:hAnsi="黑体" w:eastAsia="黑体" w:cs="黑体"/>
              <w:b/>
              <w:bCs/>
              <w:sz w:val="24"/>
              <w:szCs w:val="24"/>
            </w:rPr>
            <w:fldChar w:fldCharType="separate"/>
          </w:r>
          <w:r>
            <w:rPr>
              <w:rFonts w:hint="eastAsia" w:ascii="黑体" w:hAnsi="黑体" w:eastAsia="黑体" w:cs="黑体"/>
              <w:b/>
              <w:bCs/>
              <w:kern w:val="0"/>
              <w:sz w:val="24"/>
              <w:szCs w:val="24"/>
              <w:lang w:val="en-US" w:eastAsia="zh-CN" w:bidi="ar"/>
            </w:rPr>
            <w:t>一、指导思想</w:t>
          </w:r>
          <w:r>
            <w:rPr>
              <w:rFonts w:hint="eastAsia" w:ascii="黑体" w:hAnsi="黑体" w:eastAsia="黑体" w:cs="黑体"/>
              <w:b/>
              <w:bCs/>
              <w:sz w:val="24"/>
              <w:szCs w:val="24"/>
            </w:rPr>
            <w:tab/>
          </w:r>
          <w:r>
            <w:rPr>
              <w:rFonts w:hint="eastAsia" w:ascii="黑体" w:hAnsi="黑体" w:eastAsia="黑体" w:cs="黑体"/>
              <w:b/>
              <w:bCs/>
              <w:sz w:val="24"/>
              <w:szCs w:val="24"/>
            </w:rPr>
            <w:fldChar w:fldCharType="begin"/>
          </w:r>
          <w:r>
            <w:rPr>
              <w:rFonts w:hint="eastAsia" w:ascii="黑体" w:hAnsi="黑体" w:eastAsia="黑体" w:cs="黑体"/>
              <w:b/>
              <w:bCs/>
              <w:sz w:val="24"/>
              <w:szCs w:val="24"/>
            </w:rPr>
            <w:instrText xml:space="preserve"> PAGEREF _Toc30488 \h </w:instrText>
          </w:r>
          <w:r>
            <w:rPr>
              <w:rFonts w:hint="eastAsia" w:ascii="黑体" w:hAnsi="黑体" w:eastAsia="黑体" w:cs="黑体"/>
              <w:b/>
              <w:bCs/>
              <w:sz w:val="24"/>
              <w:szCs w:val="24"/>
            </w:rPr>
            <w:fldChar w:fldCharType="separate"/>
          </w:r>
          <w:r>
            <w:rPr>
              <w:rFonts w:hint="eastAsia" w:ascii="黑体" w:hAnsi="黑体" w:eastAsia="黑体" w:cs="黑体"/>
              <w:b/>
              <w:bCs/>
              <w:sz w:val="24"/>
              <w:szCs w:val="24"/>
            </w:rPr>
            <w:t>8</w:t>
          </w:r>
          <w:r>
            <w:rPr>
              <w:rFonts w:hint="eastAsia" w:ascii="黑体" w:hAnsi="黑体" w:eastAsia="黑体" w:cs="黑体"/>
              <w:b/>
              <w:bCs/>
              <w:sz w:val="24"/>
              <w:szCs w:val="24"/>
            </w:rPr>
            <w:fldChar w:fldCharType="end"/>
          </w:r>
          <w:r>
            <w:rPr>
              <w:rFonts w:hint="eastAsia" w:ascii="黑体" w:hAnsi="黑体" w:eastAsia="黑体" w:cs="黑体"/>
              <w:b/>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rPr>
            <w:fldChar w:fldCharType="begin"/>
          </w:r>
          <w:r>
            <w:rPr>
              <w:rFonts w:hint="eastAsia" w:ascii="黑体" w:hAnsi="黑体" w:eastAsia="黑体" w:cs="黑体"/>
              <w:b/>
              <w:bCs/>
              <w:sz w:val="24"/>
              <w:szCs w:val="24"/>
            </w:rPr>
            <w:instrText xml:space="preserve"> HYPERLINK \l _Toc31468 </w:instrText>
          </w:r>
          <w:r>
            <w:rPr>
              <w:rFonts w:hint="eastAsia" w:ascii="黑体" w:hAnsi="黑体" w:eastAsia="黑体" w:cs="黑体"/>
              <w:b/>
              <w:bCs/>
              <w:sz w:val="24"/>
              <w:szCs w:val="24"/>
            </w:rPr>
            <w:fldChar w:fldCharType="separate"/>
          </w:r>
          <w:r>
            <w:rPr>
              <w:rFonts w:hint="eastAsia" w:ascii="黑体" w:hAnsi="黑体" w:eastAsia="黑体" w:cs="黑体"/>
              <w:b/>
              <w:bCs/>
              <w:kern w:val="0"/>
              <w:sz w:val="24"/>
              <w:szCs w:val="24"/>
              <w:lang w:val="en-US" w:eastAsia="zh-CN" w:bidi="ar"/>
            </w:rPr>
            <w:t>二、基本原则</w:t>
          </w:r>
          <w:r>
            <w:rPr>
              <w:rFonts w:hint="eastAsia" w:ascii="黑体" w:hAnsi="黑体" w:eastAsia="黑体" w:cs="黑体"/>
              <w:b/>
              <w:bCs/>
              <w:sz w:val="24"/>
              <w:szCs w:val="24"/>
            </w:rPr>
            <w:tab/>
          </w:r>
          <w:r>
            <w:rPr>
              <w:rFonts w:hint="eastAsia" w:ascii="黑体" w:hAnsi="黑体" w:eastAsia="黑体" w:cs="黑体"/>
              <w:b/>
              <w:bCs/>
              <w:sz w:val="24"/>
              <w:szCs w:val="24"/>
            </w:rPr>
            <w:fldChar w:fldCharType="begin"/>
          </w:r>
          <w:r>
            <w:rPr>
              <w:rFonts w:hint="eastAsia" w:ascii="黑体" w:hAnsi="黑体" w:eastAsia="黑体" w:cs="黑体"/>
              <w:b/>
              <w:bCs/>
              <w:sz w:val="24"/>
              <w:szCs w:val="24"/>
            </w:rPr>
            <w:instrText xml:space="preserve"> PAGEREF _Toc31468 \h </w:instrText>
          </w:r>
          <w:r>
            <w:rPr>
              <w:rFonts w:hint="eastAsia" w:ascii="黑体" w:hAnsi="黑体" w:eastAsia="黑体" w:cs="黑体"/>
              <w:b/>
              <w:bCs/>
              <w:sz w:val="24"/>
              <w:szCs w:val="24"/>
            </w:rPr>
            <w:fldChar w:fldCharType="separate"/>
          </w:r>
          <w:r>
            <w:rPr>
              <w:rFonts w:hint="eastAsia" w:ascii="黑体" w:hAnsi="黑体" w:eastAsia="黑体" w:cs="黑体"/>
              <w:b/>
              <w:bCs/>
              <w:sz w:val="24"/>
              <w:szCs w:val="24"/>
            </w:rPr>
            <w:t>8</w:t>
          </w:r>
          <w:r>
            <w:rPr>
              <w:rFonts w:hint="eastAsia" w:ascii="黑体" w:hAnsi="黑体" w:eastAsia="黑体" w:cs="黑体"/>
              <w:b/>
              <w:bCs/>
              <w:sz w:val="24"/>
              <w:szCs w:val="24"/>
            </w:rPr>
            <w:fldChar w:fldCharType="end"/>
          </w:r>
          <w:r>
            <w:rPr>
              <w:rFonts w:hint="eastAsia" w:ascii="黑体" w:hAnsi="黑体" w:eastAsia="黑体" w:cs="黑体"/>
              <w:b/>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rPr>
            <w:fldChar w:fldCharType="begin"/>
          </w:r>
          <w:r>
            <w:rPr>
              <w:rFonts w:hint="eastAsia" w:ascii="黑体" w:hAnsi="黑体" w:eastAsia="黑体" w:cs="黑体"/>
              <w:b/>
              <w:bCs/>
              <w:sz w:val="24"/>
              <w:szCs w:val="24"/>
            </w:rPr>
            <w:instrText xml:space="preserve"> HYPERLINK \l _Toc19878 </w:instrText>
          </w:r>
          <w:r>
            <w:rPr>
              <w:rFonts w:hint="eastAsia" w:ascii="黑体" w:hAnsi="黑体" w:eastAsia="黑体" w:cs="黑体"/>
              <w:b/>
              <w:bCs/>
              <w:sz w:val="24"/>
              <w:szCs w:val="24"/>
            </w:rPr>
            <w:fldChar w:fldCharType="separate"/>
          </w:r>
          <w:r>
            <w:rPr>
              <w:rFonts w:hint="eastAsia" w:ascii="黑体" w:hAnsi="黑体" w:eastAsia="黑体" w:cs="黑体"/>
              <w:b/>
              <w:bCs/>
              <w:kern w:val="0"/>
              <w:sz w:val="24"/>
              <w:szCs w:val="24"/>
              <w:lang w:val="en-US" w:eastAsia="zh-CN" w:bidi="ar"/>
            </w:rPr>
            <w:t>四、重点任务</w:t>
          </w:r>
          <w:r>
            <w:rPr>
              <w:rFonts w:hint="eastAsia" w:ascii="黑体" w:hAnsi="黑体" w:eastAsia="黑体" w:cs="黑体"/>
              <w:b/>
              <w:bCs/>
              <w:sz w:val="24"/>
              <w:szCs w:val="24"/>
            </w:rPr>
            <w:tab/>
          </w:r>
          <w:r>
            <w:rPr>
              <w:rFonts w:hint="eastAsia" w:ascii="黑体" w:hAnsi="黑体" w:eastAsia="黑体" w:cs="黑体"/>
              <w:b/>
              <w:bCs/>
              <w:sz w:val="24"/>
              <w:szCs w:val="24"/>
            </w:rPr>
            <w:fldChar w:fldCharType="begin"/>
          </w:r>
          <w:r>
            <w:rPr>
              <w:rFonts w:hint="eastAsia" w:ascii="黑体" w:hAnsi="黑体" w:eastAsia="黑体" w:cs="黑体"/>
              <w:b/>
              <w:bCs/>
              <w:sz w:val="24"/>
              <w:szCs w:val="24"/>
            </w:rPr>
            <w:instrText xml:space="preserve"> PAGEREF _Toc19878 \h </w:instrText>
          </w:r>
          <w:r>
            <w:rPr>
              <w:rFonts w:hint="eastAsia" w:ascii="黑体" w:hAnsi="黑体" w:eastAsia="黑体" w:cs="黑体"/>
              <w:b/>
              <w:bCs/>
              <w:sz w:val="24"/>
              <w:szCs w:val="24"/>
            </w:rPr>
            <w:fldChar w:fldCharType="separate"/>
          </w:r>
          <w:r>
            <w:rPr>
              <w:rFonts w:hint="eastAsia" w:ascii="黑体" w:hAnsi="黑体" w:eastAsia="黑体" w:cs="黑体"/>
              <w:b/>
              <w:bCs/>
              <w:sz w:val="24"/>
              <w:szCs w:val="24"/>
            </w:rPr>
            <w:t>9</w:t>
          </w:r>
          <w:r>
            <w:rPr>
              <w:rFonts w:hint="eastAsia" w:ascii="黑体" w:hAnsi="黑体" w:eastAsia="黑体" w:cs="黑体"/>
              <w:b/>
              <w:bCs/>
              <w:sz w:val="24"/>
              <w:szCs w:val="24"/>
            </w:rPr>
            <w:fldChar w:fldCharType="end"/>
          </w:r>
          <w:r>
            <w:rPr>
              <w:rFonts w:hint="eastAsia" w:ascii="黑体" w:hAnsi="黑体" w:eastAsia="黑体" w:cs="黑体"/>
              <w:b/>
              <w:bCs/>
              <w:sz w:val="24"/>
              <w:szCs w:val="24"/>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rPr>
          </w:pPr>
          <w:r>
            <w:rPr>
              <w:rFonts w:hint="default" w:ascii="宋体" w:hAnsi="宋体" w:eastAsia="宋体" w:cs="宋体"/>
              <w:sz w:val="24"/>
              <w:szCs w:val="24"/>
            </w:rPr>
            <w:fldChar w:fldCharType="begin"/>
          </w:r>
          <w:r>
            <w:rPr>
              <w:rFonts w:hint="default" w:ascii="宋体" w:hAnsi="宋体" w:eastAsia="宋体" w:cs="宋体"/>
              <w:sz w:val="24"/>
              <w:szCs w:val="24"/>
            </w:rPr>
            <w:instrText xml:space="preserve"> HYPERLINK \l _Toc9481 </w:instrText>
          </w:r>
          <w:r>
            <w:rPr>
              <w:rFonts w:hint="default" w:ascii="宋体" w:hAnsi="宋体" w:eastAsia="宋体" w:cs="宋体"/>
              <w:sz w:val="24"/>
              <w:szCs w:val="24"/>
            </w:rPr>
            <w:fldChar w:fldCharType="separate"/>
          </w:r>
          <w:r>
            <w:rPr>
              <w:rFonts w:hint="default" w:ascii="宋体" w:hAnsi="宋体" w:eastAsia="宋体" w:cs="宋体"/>
              <w:sz w:val="24"/>
              <w:szCs w:val="24"/>
              <w:lang w:val="en-US" w:eastAsia="zh-CN"/>
            </w:rPr>
            <w:t>（一）坚持“房住不炒”定位</w:t>
          </w:r>
          <w:r>
            <w:rPr>
              <w:rFonts w:hint="default" w:ascii="宋体" w:hAnsi="宋体" w:eastAsia="宋体" w:cs="宋体"/>
              <w:sz w:val="24"/>
              <w:szCs w:val="24"/>
            </w:rPr>
            <w:tab/>
          </w:r>
          <w:r>
            <w:rPr>
              <w:rFonts w:hint="default" w:ascii="宋体" w:hAnsi="宋体" w:eastAsia="宋体" w:cs="宋体"/>
              <w:sz w:val="24"/>
              <w:szCs w:val="24"/>
            </w:rPr>
            <w:fldChar w:fldCharType="begin"/>
          </w:r>
          <w:r>
            <w:rPr>
              <w:rFonts w:hint="default" w:ascii="宋体" w:hAnsi="宋体" w:eastAsia="宋体" w:cs="宋体"/>
              <w:sz w:val="24"/>
              <w:szCs w:val="24"/>
            </w:rPr>
            <w:instrText xml:space="preserve"> PAGEREF _Toc9481 \h </w:instrText>
          </w:r>
          <w:r>
            <w:rPr>
              <w:rFonts w:hint="default" w:ascii="宋体" w:hAnsi="宋体" w:eastAsia="宋体" w:cs="宋体"/>
              <w:sz w:val="24"/>
              <w:szCs w:val="24"/>
            </w:rPr>
            <w:fldChar w:fldCharType="separate"/>
          </w:r>
          <w:r>
            <w:rPr>
              <w:rFonts w:hint="default" w:ascii="宋体" w:hAnsi="宋体" w:eastAsia="宋体" w:cs="宋体"/>
              <w:sz w:val="24"/>
              <w:szCs w:val="24"/>
            </w:rPr>
            <w:t>9</w:t>
          </w:r>
          <w:r>
            <w:rPr>
              <w:rFonts w:hint="default" w:ascii="宋体" w:hAnsi="宋体" w:eastAsia="宋体" w:cs="宋体"/>
              <w:sz w:val="24"/>
              <w:szCs w:val="24"/>
            </w:rPr>
            <w:fldChar w:fldCharType="end"/>
          </w:r>
          <w:r>
            <w:rPr>
              <w:rFonts w:hint="default" w:ascii="宋体" w:hAnsi="宋体" w:eastAsia="宋体" w:cs="宋体"/>
              <w:sz w:val="24"/>
              <w:szCs w:val="24"/>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rPr>
          </w:pPr>
          <w:r>
            <w:rPr>
              <w:rFonts w:hint="default" w:ascii="宋体" w:hAnsi="宋体" w:eastAsia="宋体" w:cs="宋体"/>
              <w:sz w:val="24"/>
              <w:szCs w:val="24"/>
            </w:rPr>
            <w:fldChar w:fldCharType="begin"/>
          </w:r>
          <w:r>
            <w:rPr>
              <w:rFonts w:hint="default" w:ascii="宋体" w:hAnsi="宋体" w:eastAsia="宋体" w:cs="宋体"/>
              <w:sz w:val="24"/>
              <w:szCs w:val="24"/>
            </w:rPr>
            <w:instrText xml:space="preserve"> HYPERLINK \l _Toc12699 </w:instrText>
          </w:r>
          <w:r>
            <w:rPr>
              <w:rFonts w:hint="default" w:ascii="宋体" w:hAnsi="宋体" w:eastAsia="宋体" w:cs="宋体"/>
              <w:sz w:val="24"/>
              <w:szCs w:val="24"/>
            </w:rPr>
            <w:fldChar w:fldCharType="separate"/>
          </w:r>
          <w:r>
            <w:rPr>
              <w:rFonts w:hint="default" w:ascii="宋体" w:hAnsi="宋体" w:eastAsia="宋体" w:cs="宋体"/>
              <w:sz w:val="24"/>
              <w:szCs w:val="24"/>
              <w:lang w:val="en-US" w:eastAsia="zh-CN"/>
            </w:rPr>
            <w:t>（二）城市品质实现全面的提升</w:t>
          </w:r>
          <w:r>
            <w:rPr>
              <w:rFonts w:hint="default" w:ascii="宋体" w:hAnsi="宋体" w:eastAsia="宋体" w:cs="宋体"/>
              <w:sz w:val="24"/>
              <w:szCs w:val="24"/>
            </w:rPr>
            <w:tab/>
          </w:r>
          <w:r>
            <w:rPr>
              <w:rFonts w:hint="default" w:ascii="宋体" w:hAnsi="宋体" w:eastAsia="宋体" w:cs="宋体"/>
              <w:sz w:val="24"/>
              <w:szCs w:val="24"/>
            </w:rPr>
            <w:fldChar w:fldCharType="begin"/>
          </w:r>
          <w:r>
            <w:rPr>
              <w:rFonts w:hint="default" w:ascii="宋体" w:hAnsi="宋体" w:eastAsia="宋体" w:cs="宋体"/>
              <w:sz w:val="24"/>
              <w:szCs w:val="24"/>
            </w:rPr>
            <w:instrText xml:space="preserve"> PAGEREF _Toc12699 \h </w:instrText>
          </w:r>
          <w:r>
            <w:rPr>
              <w:rFonts w:hint="default" w:ascii="宋体" w:hAnsi="宋体" w:eastAsia="宋体" w:cs="宋体"/>
              <w:sz w:val="24"/>
              <w:szCs w:val="24"/>
            </w:rPr>
            <w:fldChar w:fldCharType="separate"/>
          </w:r>
          <w:r>
            <w:rPr>
              <w:rFonts w:hint="default" w:ascii="宋体" w:hAnsi="宋体" w:eastAsia="宋体" w:cs="宋体"/>
              <w:sz w:val="24"/>
              <w:szCs w:val="24"/>
            </w:rPr>
            <w:t>10</w:t>
          </w:r>
          <w:r>
            <w:rPr>
              <w:rFonts w:hint="default" w:ascii="宋体" w:hAnsi="宋体" w:eastAsia="宋体" w:cs="宋体"/>
              <w:sz w:val="24"/>
              <w:szCs w:val="24"/>
            </w:rPr>
            <w:fldChar w:fldCharType="end"/>
          </w:r>
          <w:r>
            <w:rPr>
              <w:rFonts w:hint="default" w:ascii="宋体" w:hAnsi="宋体" w:eastAsia="宋体" w:cs="宋体"/>
              <w:sz w:val="24"/>
              <w:szCs w:val="24"/>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rPr>
          </w:pPr>
          <w:r>
            <w:rPr>
              <w:rFonts w:hint="default" w:ascii="宋体" w:hAnsi="宋体" w:eastAsia="宋体" w:cs="宋体"/>
              <w:sz w:val="24"/>
              <w:szCs w:val="24"/>
            </w:rPr>
            <w:fldChar w:fldCharType="begin"/>
          </w:r>
          <w:r>
            <w:rPr>
              <w:rFonts w:hint="default" w:ascii="宋体" w:hAnsi="宋体" w:eastAsia="宋体" w:cs="宋体"/>
              <w:sz w:val="24"/>
              <w:szCs w:val="24"/>
            </w:rPr>
            <w:instrText xml:space="preserve"> HYPERLINK \l _Toc3941 </w:instrText>
          </w:r>
          <w:r>
            <w:rPr>
              <w:rFonts w:hint="default" w:ascii="宋体" w:hAnsi="宋体" w:eastAsia="宋体" w:cs="宋体"/>
              <w:sz w:val="24"/>
              <w:szCs w:val="24"/>
            </w:rPr>
            <w:fldChar w:fldCharType="separate"/>
          </w:r>
          <w:r>
            <w:rPr>
              <w:rFonts w:hint="default" w:ascii="宋体" w:hAnsi="宋体" w:eastAsia="宋体" w:cs="宋体"/>
              <w:sz w:val="24"/>
              <w:szCs w:val="24"/>
              <w:lang w:val="en-US" w:eastAsia="zh-CN"/>
            </w:rPr>
            <w:t>（三）乡村建设实现全面覆盖</w:t>
          </w:r>
          <w:r>
            <w:rPr>
              <w:rFonts w:hint="default" w:ascii="宋体" w:hAnsi="宋体" w:eastAsia="宋体" w:cs="宋体"/>
              <w:sz w:val="24"/>
              <w:szCs w:val="24"/>
            </w:rPr>
            <w:tab/>
          </w:r>
          <w:r>
            <w:rPr>
              <w:rFonts w:hint="default" w:ascii="宋体" w:hAnsi="宋体" w:eastAsia="宋体" w:cs="宋体"/>
              <w:sz w:val="24"/>
              <w:szCs w:val="24"/>
            </w:rPr>
            <w:fldChar w:fldCharType="begin"/>
          </w:r>
          <w:r>
            <w:rPr>
              <w:rFonts w:hint="default" w:ascii="宋体" w:hAnsi="宋体" w:eastAsia="宋体" w:cs="宋体"/>
              <w:sz w:val="24"/>
              <w:szCs w:val="24"/>
            </w:rPr>
            <w:instrText xml:space="preserve"> PAGEREF _Toc3941 \h </w:instrText>
          </w:r>
          <w:r>
            <w:rPr>
              <w:rFonts w:hint="default" w:ascii="宋体" w:hAnsi="宋体" w:eastAsia="宋体" w:cs="宋体"/>
              <w:sz w:val="24"/>
              <w:szCs w:val="24"/>
            </w:rPr>
            <w:fldChar w:fldCharType="separate"/>
          </w:r>
          <w:r>
            <w:rPr>
              <w:rFonts w:hint="default" w:ascii="宋体" w:hAnsi="宋体" w:eastAsia="宋体" w:cs="宋体"/>
              <w:sz w:val="24"/>
              <w:szCs w:val="24"/>
            </w:rPr>
            <w:t>10</w:t>
          </w:r>
          <w:r>
            <w:rPr>
              <w:rFonts w:hint="default" w:ascii="宋体" w:hAnsi="宋体" w:eastAsia="宋体" w:cs="宋体"/>
              <w:sz w:val="24"/>
              <w:szCs w:val="24"/>
            </w:rPr>
            <w:fldChar w:fldCharType="end"/>
          </w:r>
          <w:r>
            <w:rPr>
              <w:rFonts w:hint="default" w:ascii="宋体" w:hAnsi="宋体" w:eastAsia="宋体" w:cs="宋体"/>
              <w:sz w:val="24"/>
              <w:szCs w:val="24"/>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rPr>
          </w:pPr>
          <w:r>
            <w:rPr>
              <w:rFonts w:hint="default" w:ascii="宋体" w:hAnsi="宋体" w:eastAsia="宋体" w:cs="宋体"/>
              <w:sz w:val="24"/>
              <w:szCs w:val="24"/>
            </w:rPr>
            <w:fldChar w:fldCharType="begin"/>
          </w:r>
          <w:r>
            <w:rPr>
              <w:rFonts w:hint="default" w:ascii="宋体" w:hAnsi="宋体" w:eastAsia="宋体" w:cs="宋体"/>
              <w:sz w:val="24"/>
              <w:szCs w:val="24"/>
            </w:rPr>
            <w:instrText xml:space="preserve"> HYPERLINK \l _Toc30843 </w:instrText>
          </w:r>
          <w:r>
            <w:rPr>
              <w:rFonts w:hint="default" w:ascii="宋体" w:hAnsi="宋体" w:eastAsia="宋体" w:cs="宋体"/>
              <w:sz w:val="24"/>
              <w:szCs w:val="24"/>
            </w:rPr>
            <w:fldChar w:fldCharType="separate"/>
          </w:r>
          <w:r>
            <w:rPr>
              <w:rFonts w:hint="default" w:ascii="宋体" w:hAnsi="宋体" w:eastAsia="宋体" w:cs="宋体"/>
              <w:sz w:val="24"/>
              <w:szCs w:val="24"/>
              <w:lang w:val="en-US" w:eastAsia="zh-CN"/>
            </w:rPr>
            <w:t>（四）强化保障性住房管理</w:t>
          </w:r>
          <w:r>
            <w:rPr>
              <w:rFonts w:hint="default" w:ascii="宋体" w:hAnsi="宋体" w:eastAsia="宋体" w:cs="宋体"/>
              <w:sz w:val="24"/>
              <w:szCs w:val="24"/>
            </w:rPr>
            <w:tab/>
          </w:r>
          <w:r>
            <w:rPr>
              <w:rFonts w:hint="default" w:ascii="宋体" w:hAnsi="宋体" w:eastAsia="宋体" w:cs="宋体"/>
              <w:sz w:val="24"/>
              <w:szCs w:val="24"/>
            </w:rPr>
            <w:fldChar w:fldCharType="begin"/>
          </w:r>
          <w:r>
            <w:rPr>
              <w:rFonts w:hint="default" w:ascii="宋体" w:hAnsi="宋体" w:eastAsia="宋体" w:cs="宋体"/>
              <w:sz w:val="24"/>
              <w:szCs w:val="24"/>
            </w:rPr>
            <w:instrText xml:space="preserve"> PAGEREF _Toc30843 \h </w:instrText>
          </w:r>
          <w:r>
            <w:rPr>
              <w:rFonts w:hint="default" w:ascii="宋体" w:hAnsi="宋体" w:eastAsia="宋体" w:cs="宋体"/>
              <w:sz w:val="24"/>
              <w:szCs w:val="24"/>
            </w:rPr>
            <w:fldChar w:fldCharType="separate"/>
          </w:r>
          <w:r>
            <w:rPr>
              <w:rFonts w:hint="default" w:ascii="宋体" w:hAnsi="宋体" w:eastAsia="宋体" w:cs="宋体"/>
              <w:sz w:val="24"/>
              <w:szCs w:val="24"/>
            </w:rPr>
            <w:t>10</w:t>
          </w:r>
          <w:r>
            <w:rPr>
              <w:rFonts w:hint="default" w:ascii="宋体" w:hAnsi="宋体" w:eastAsia="宋体" w:cs="宋体"/>
              <w:sz w:val="24"/>
              <w:szCs w:val="24"/>
            </w:rPr>
            <w:fldChar w:fldCharType="end"/>
          </w:r>
          <w:r>
            <w:rPr>
              <w:rFonts w:hint="default" w:ascii="宋体" w:hAnsi="宋体" w:eastAsia="宋体" w:cs="宋体"/>
              <w:sz w:val="24"/>
              <w:szCs w:val="24"/>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rPr>
          </w:pPr>
          <w:r>
            <w:rPr>
              <w:rFonts w:hint="default" w:ascii="宋体" w:hAnsi="宋体" w:eastAsia="宋体" w:cs="宋体"/>
              <w:sz w:val="24"/>
              <w:szCs w:val="24"/>
            </w:rPr>
            <w:fldChar w:fldCharType="begin"/>
          </w:r>
          <w:r>
            <w:rPr>
              <w:rFonts w:hint="default" w:ascii="宋体" w:hAnsi="宋体" w:eastAsia="宋体" w:cs="宋体"/>
              <w:sz w:val="24"/>
              <w:szCs w:val="24"/>
            </w:rPr>
            <w:instrText xml:space="preserve"> HYPERLINK \l _Toc20235 </w:instrText>
          </w:r>
          <w:r>
            <w:rPr>
              <w:rFonts w:hint="default" w:ascii="宋体" w:hAnsi="宋体" w:eastAsia="宋体" w:cs="宋体"/>
              <w:sz w:val="24"/>
              <w:szCs w:val="24"/>
            </w:rPr>
            <w:fldChar w:fldCharType="separate"/>
          </w:r>
          <w:r>
            <w:rPr>
              <w:rFonts w:hint="default" w:ascii="宋体" w:hAnsi="宋体" w:eastAsia="宋体" w:cs="宋体"/>
              <w:sz w:val="24"/>
              <w:szCs w:val="24"/>
              <w:lang w:val="en-US" w:eastAsia="zh-CN"/>
            </w:rPr>
            <w:t>（五）稳妥推进棚户区改造</w:t>
          </w:r>
          <w:r>
            <w:rPr>
              <w:rFonts w:hint="default" w:ascii="宋体" w:hAnsi="宋体" w:eastAsia="宋体" w:cs="宋体"/>
              <w:sz w:val="24"/>
              <w:szCs w:val="24"/>
            </w:rPr>
            <w:tab/>
          </w:r>
          <w:r>
            <w:rPr>
              <w:rFonts w:hint="default" w:ascii="宋体" w:hAnsi="宋体" w:eastAsia="宋体" w:cs="宋体"/>
              <w:sz w:val="24"/>
              <w:szCs w:val="24"/>
            </w:rPr>
            <w:fldChar w:fldCharType="begin"/>
          </w:r>
          <w:r>
            <w:rPr>
              <w:rFonts w:hint="default" w:ascii="宋体" w:hAnsi="宋体" w:eastAsia="宋体" w:cs="宋体"/>
              <w:sz w:val="24"/>
              <w:szCs w:val="24"/>
            </w:rPr>
            <w:instrText xml:space="preserve"> PAGEREF _Toc20235 \h </w:instrText>
          </w:r>
          <w:r>
            <w:rPr>
              <w:rFonts w:hint="default" w:ascii="宋体" w:hAnsi="宋体" w:eastAsia="宋体" w:cs="宋体"/>
              <w:sz w:val="24"/>
              <w:szCs w:val="24"/>
            </w:rPr>
            <w:fldChar w:fldCharType="separate"/>
          </w:r>
          <w:r>
            <w:rPr>
              <w:rFonts w:hint="default" w:ascii="宋体" w:hAnsi="宋体" w:eastAsia="宋体" w:cs="宋体"/>
              <w:sz w:val="24"/>
              <w:szCs w:val="24"/>
            </w:rPr>
            <w:t>11</w:t>
          </w:r>
          <w:r>
            <w:rPr>
              <w:rFonts w:hint="default" w:ascii="宋体" w:hAnsi="宋体" w:eastAsia="宋体" w:cs="宋体"/>
              <w:sz w:val="24"/>
              <w:szCs w:val="24"/>
            </w:rPr>
            <w:fldChar w:fldCharType="end"/>
          </w:r>
          <w:r>
            <w:rPr>
              <w:rFonts w:hint="default" w:ascii="宋体" w:hAnsi="宋体" w:eastAsia="宋体" w:cs="宋体"/>
              <w:sz w:val="24"/>
              <w:szCs w:val="24"/>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rPr>
          </w:pPr>
          <w:r>
            <w:rPr>
              <w:rFonts w:hint="default" w:ascii="宋体" w:hAnsi="宋体" w:eastAsia="宋体" w:cs="宋体"/>
              <w:sz w:val="24"/>
              <w:szCs w:val="24"/>
            </w:rPr>
            <w:fldChar w:fldCharType="begin"/>
          </w:r>
          <w:r>
            <w:rPr>
              <w:rFonts w:hint="default" w:ascii="宋体" w:hAnsi="宋体" w:eastAsia="宋体" w:cs="宋体"/>
              <w:sz w:val="24"/>
              <w:szCs w:val="24"/>
            </w:rPr>
            <w:instrText xml:space="preserve"> HYPERLINK \l _Toc2645 </w:instrText>
          </w:r>
          <w:r>
            <w:rPr>
              <w:rFonts w:hint="default" w:ascii="宋体" w:hAnsi="宋体" w:eastAsia="宋体" w:cs="宋体"/>
              <w:sz w:val="24"/>
              <w:szCs w:val="24"/>
            </w:rPr>
            <w:fldChar w:fldCharType="separate"/>
          </w:r>
          <w:r>
            <w:rPr>
              <w:rFonts w:hint="default" w:ascii="宋体" w:hAnsi="宋体" w:eastAsia="宋体" w:cs="宋体"/>
              <w:sz w:val="24"/>
              <w:szCs w:val="24"/>
              <w:lang w:val="en-US" w:eastAsia="zh-CN"/>
            </w:rPr>
            <w:t>（六）建立老旧小区改造项目推进机制</w:t>
          </w:r>
          <w:r>
            <w:rPr>
              <w:rFonts w:hint="default" w:ascii="宋体" w:hAnsi="宋体" w:eastAsia="宋体" w:cs="宋体"/>
              <w:sz w:val="24"/>
              <w:szCs w:val="24"/>
            </w:rPr>
            <w:tab/>
          </w:r>
          <w:r>
            <w:rPr>
              <w:rFonts w:hint="default" w:ascii="宋体" w:hAnsi="宋体" w:eastAsia="宋体" w:cs="宋体"/>
              <w:sz w:val="24"/>
              <w:szCs w:val="24"/>
            </w:rPr>
            <w:fldChar w:fldCharType="begin"/>
          </w:r>
          <w:r>
            <w:rPr>
              <w:rFonts w:hint="default" w:ascii="宋体" w:hAnsi="宋体" w:eastAsia="宋体" w:cs="宋体"/>
              <w:sz w:val="24"/>
              <w:szCs w:val="24"/>
            </w:rPr>
            <w:instrText xml:space="preserve"> PAGEREF _Toc2645 \h </w:instrText>
          </w:r>
          <w:r>
            <w:rPr>
              <w:rFonts w:hint="default" w:ascii="宋体" w:hAnsi="宋体" w:eastAsia="宋体" w:cs="宋体"/>
              <w:sz w:val="24"/>
              <w:szCs w:val="24"/>
            </w:rPr>
            <w:fldChar w:fldCharType="separate"/>
          </w:r>
          <w:r>
            <w:rPr>
              <w:rFonts w:hint="default" w:ascii="宋体" w:hAnsi="宋体" w:eastAsia="宋体" w:cs="宋体"/>
              <w:sz w:val="24"/>
              <w:szCs w:val="24"/>
            </w:rPr>
            <w:t>11</w:t>
          </w:r>
          <w:r>
            <w:rPr>
              <w:rFonts w:hint="default" w:ascii="宋体" w:hAnsi="宋体" w:eastAsia="宋体" w:cs="宋体"/>
              <w:sz w:val="24"/>
              <w:szCs w:val="24"/>
            </w:rPr>
            <w:fldChar w:fldCharType="end"/>
          </w:r>
          <w:r>
            <w:rPr>
              <w:rFonts w:hint="default" w:ascii="宋体" w:hAnsi="宋体" w:eastAsia="宋体" w:cs="宋体"/>
              <w:sz w:val="24"/>
              <w:szCs w:val="24"/>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rPr>
          </w:pPr>
          <w:r>
            <w:rPr>
              <w:rFonts w:hint="default" w:ascii="宋体" w:hAnsi="宋体" w:eastAsia="宋体" w:cs="宋体"/>
              <w:sz w:val="24"/>
              <w:szCs w:val="24"/>
            </w:rPr>
            <w:fldChar w:fldCharType="begin"/>
          </w:r>
          <w:r>
            <w:rPr>
              <w:rFonts w:hint="default" w:ascii="宋体" w:hAnsi="宋体" w:eastAsia="宋体" w:cs="宋体"/>
              <w:sz w:val="24"/>
              <w:szCs w:val="24"/>
            </w:rPr>
            <w:instrText xml:space="preserve"> HYPERLINK \l _Toc32316 </w:instrText>
          </w:r>
          <w:r>
            <w:rPr>
              <w:rFonts w:hint="default" w:ascii="宋体" w:hAnsi="宋体" w:eastAsia="宋体" w:cs="宋体"/>
              <w:sz w:val="24"/>
              <w:szCs w:val="24"/>
            </w:rPr>
            <w:fldChar w:fldCharType="separate"/>
          </w:r>
          <w:r>
            <w:rPr>
              <w:rFonts w:hint="default" w:ascii="宋体" w:hAnsi="宋体" w:eastAsia="宋体" w:cs="宋体"/>
              <w:sz w:val="24"/>
              <w:szCs w:val="24"/>
              <w:lang w:eastAsia="zh-CN"/>
            </w:rPr>
            <w:t>（七）</w:t>
          </w:r>
          <w:r>
            <w:rPr>
              <w:rFonts w:hint="default" w:ascii="宋体" w:hAnsi="宋体" w:eastAsia="宋体" w:cs="宋体"/>
              <w:sz w:val="24"/>
              <w:szCs w:val="24"/>
            </w:rPr>
            <w:t>推动物业管理转型升级</w:t>
          </w:r>
          <w:r>
            <w:rPr>
              <w:rFonts w:hint="default" w:ascii="宋体" w:hAnsi="宋体" w:eastAsia="宋体" w:cs="宋体"/>
              <w:sz w:val="24"/>
              <w:szCs w:val="24"/>
            </w:rPr>
            <w:tab/>
          </w:r>
          <w:r>
            <w:rPr>
              <w:rFonts w:hint="default" w:ascii="宋体" w:hAnsi="宋体" w:eastAsia="宋体" w:cs="宋体"/>
              <w:sz w:val="24"/>
              <w:szCs w:val="24"/>
            </w:rPr>
            <w:fldChar w:fldCharType="begin"/>
          </w:r>
          <w:r>
            <w:rPr>
              <w:rFonts w:hint="default" w:ascii="宋体" w:hAnsi="宋体" w:eastAsia="宋体" w:cs="宋体"/>
              <w:sz w:val="24"/>
              <w:szCs w:val="24"/>
            </w:rPr>
            <w:instrText xml:space="preserve"> PAGEREF _Toc32316 \h </w:instrText>
          </w:r>
          <w:r>
            <w:rPr>
              <w:rFonts w:hint="default" w:ascii="宋体" w:hAnsi="宋体" w:eastAsia="宋体" w:cs="宋体"/>
              <w:sz w:val="24"/>
              <w:szCs w:val="24"/>
            </w:rPr>
            <w:fldChar w:fldCharType="separate"/>
          </w:r>
          <w:r>
            <w:rPr>
              <w:rFonts w:hint="default" w:ascii="宋体" w:hAnsi="宋体" w:eastAsia="宋体" w:cs="宋体"/>
              <w:sz w:val="24"/>
              <w:szCs w:val="24"/>
            </w:rPr>
            <w:t>11</w:t>
          </w:r>
          <w:r>
            <w:rPr>
              <w:rFonts w:hint="default" w:ascii="宋体" w:hAnsi="宋体" w:eastAsia="宋体" w:cs="宋体"/>
              <w:sz w:val="24"/>
              <w:szCs w:val="24"/>
            </w:rPr>
            <w:fldChar w:fldCharType="end"/>
          </w:r>
          <w:r>
            <w:rPr>
              <w:rFonts w:hint="default" w:ascii="宋体" w:hAnsi="宋体" w:eastAsia="宋体" w:cs="宋体"/>
              <w:sz w:val="24"/>
              <w:szCs w:val="24"/>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rPr>
          </w:pPr>
          <w:r>
            <w:rPr>
              <w:rFonts w:hint="default" w:ascii="宋体" w:hAnsi="宋体" w:eastAsia="宋体" w:cs="宋体"/>
              <w:sz w:val="24"/>
              <w:szCs w:val="24"/>
            </w:rPr>
            <w:fldChar w:fldCharType="begin"/>
          </w:r>
          <w:r>
            <w:rPr>
              <w:rFonts w:hint="default" w:ascii="宋体" w:hAnsi="宋体" w:eastAsia="宋体" w:cs="宋体"/>
              <w:sz w:val="24"/>
              <w:szCs w:val="24"/>
            </w:rPr>
            <w:instrText xml:space="preserve"> HYPERLINK \l _Toc18725 </w:instrText>
          </w:r>
          <w:r>
            <w:rPr>
              <w:rFonts w:hint="default" w:ascii="宋体" w:hAnsi="宋体" w:eastAsia="宋体" w:cs="宋体"/>
              <w:sz w:val="24"/>
              <w:szCs w:val="24"/>
            </w:rPr>
            <w:fldChar w:fldCharType="separate"/>
          </w:r>
          <w:r>
            <w:rPr>
              <w:rFonts w:hint="default" w:ascii="宋体" w:hAnsi="宋体" w:eastAsia="宋体" w:cs="宋体"/>
              <w:sz w:val="24"/>
              <w:szCs w:val="24"/>
              <w:lang w:val="en-US" w:eastAsia="zh-CN"/>
            </w:rPr>
            <w:t>（八）加强消防设计审查及验收备案管理</w:t>
          </w:r>
          <w:r>
            <w:rPr>
              <w:rFonts w:hint="default" w:ascii="宋体" w:hAnsi="宋体" w:eastAsia="宋体" w:cs="宋体"/>
              <w:sz w:val="24"/>
              <w:szCs w:val="24"/>
            </w:rPr>
            <w:tab/>
          </w:r>
          <w:r>
            <w:rPr>
              <w:rFonts w:hint="default" w:ascii="宋体" w:hAnsi="宋体" w:eastAsia="宋体" w:cs="宋体"/>
              <w:sz w:val="24"/>
              <w:szCs w:val="24"/>
            </w:rPr>
            <w:fldChar w:fldCharType="begin"/>
          </w:r>
          <w:r>
            <w:rPr>
              <w:rFonts w:hint="default" w:ascii="宋体" w:hAnsi="宋体" w:eastAsia="宋体" w:cs="宋体"/>
              <w:sz w:val="24"/>
              <w:szCs w:val="24"/>
            </w:rPr>
            <w:instrText xml:space="preserve"> PAGEREF _Toc18725 \h </w:instrText>
          </w:r>
          <w:r>
            <w:rPr>
              <w:rFonts w:hint="default" w:ascii="宋体" w:hAnsi="宋体" w:eastAsia="宋体" w:cs="宋体"/>
              <w:sz w:val="24"/>
              <w:szCs w:val="24"/>
            </w:rPr>
            <w:fldChar w:fldCharType="separate"/>
          </w:r>
          <w:r>
            <w:rPr>
              <w:rFonts w:hint="default" w:ascii="宋体" w:hAnsi="宋体" w:eastAsia="宋体" w:cs="宋体"/>
              <w:sz w:val="24"/>
              <w:szCs w:val="24"/>
            </w:rPr>
            <w:t>12</w:t>
          </w:r>
          <w:r>
            <w:rPr>
              <w:rFonts w:hint="default" w:ascii="宋体" w:hAnsi="宋体" w:eastAsia="宋体" w:cs="宋体"/>
              <w:sz w:val="24"/>
              <w:szCs w:val="24"/>
            </w:rPr>
            <w:fldChar w:fldCharType="end"/>
          </w:r>
          <w:r>
            <w:rPr>
              <w:rFonts w:hint="default" w:ascii="宋体" w:hAnsi="宋体" w:eastAsia="宋体" w:cs="宋体"/>
              <w:sz w:val="24"/>
              <w:szCs w:val="24"/>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rPr>
          </w:pPr>
          <w:r>
            <w:rPr>
              <w:rFonts w:hint="default" w:ascii="宋体" w:hAnsi="宋体" w:eastAsia="宋体" w:cs="宋体"/>
              <w:sz w:val="24"/>
              <w:szCs w:val="24"/>
            </w:rPr>
            <w:fldChar w:fldCharType="begin"/>
          </w:r>
          <w:r>
            <w:rPr>
              <w:rFonts w:hint="default" w:ascii="宋体" w:hAnsi="宋体" w:eastAsia="宋体" w:cs="宋体"/>
              <w:sz w:val="24"/>
              <w:szCs w:val="24"/>
            </w:rPr>
            <w:instrText xml:space="preserve"> HYPERLINK \l _Toc27833 </w:instrText>
          </w:r>
          <w:r>
            <w:rPr>
              <w:rFonts w:hint="default" w:ascii="宋体" w:hAnsi="宋体" w:eastAsia="宋体" w:cs="宋体"/>
              <w:sz w:val="24"/>
              <w:szCs w:val="24"/>
            </w:rPr>
            <w:fldChar w:fldCharType="separate"/>
          </w:r>
          <w:r>
            <w:rPr>
              <w:rFonts w:hint="default" w:ascii="宋体" w:hAnsi="宋体" w:eastAsia="宋体" w:cs="宋体"/>
              <w:sz w:val="24"/>
              <w:szCs w:val="24"/>
              <w:lang w:eastAsia="zh-CN"/>
            </w:rPr>
            <w:t>（九） 继续加强建筑工程安全质量管理</w:t>
          </w:r>
          <w:r>
            <w:rPr>
              <w:rFonts w:hint="default" w:ascii="宋体" w:hAnsi="宋体" w:eastAsia="宋体" w:cs="宋体"/>
              <w:sz w:val="24"/>
              <w:szCs w:val="24"/>
            </w:rPr>
            <w:tab/>
          </w:r>
          <w:r>
            <w:rPr>
              <w:rFonts w:hint="default" w:ascii="宋体" w:hAnsi="宋体" w:eastAsia="宋体" w:cs="宋体"/>
              <w:sz w:val="24"/>
              <w:szCs w:val="24"/>
            </w:rPr>
            <w:fldChar w:fldCharType="begin"/>
          </w:r>
          <w:r>
            <w:rPr>
              <w:rFonts w:hint="default" w:ascii="宋体" w:hAnsi="宋体" w:eastAsia="宋体" w:cs="宋体"/>
              <w:sz w:val="24"/>
              <w:szCs w:val="24"/>
            </w:rPr>
            <w:instrText xml:space="preserve"> PAGEREF _Toc27833 \h </w:instrText>
          </w:r>
          <w:r>
            <w:rPr>
              <w:rFonts w:hint="default" w:ascii="宋体" w:hAnsi="宋体" w:eastAsia="宋体" w:cs="宋体"/>
              <w:sz w:val="24"/>
              <w:szCs w:val="24"/>
            </w:rPr>
            <w:fldChar w:fldCharType="separate"/>
          </w:r>
          <w:r>
            <w:rPr>
              <w:rFonts w:hint="default" w:ascii="宋体" w:hAnsi="宋体" w:eastAsia="宋体" w:cs="宋体"/>
              <w:sz w:val="24"/>
              <w:szCs w:val="24"/>
            </w:rPr>
            <w:t>12</w:t>
          </w:r>
          <w:r>
            <w:rPr>
              <w:rFonts w:hint="default" w:ascii="宋体" w:hAnsi="宋体" w:eastAsia="宋体" w:cs="宋体"/>
              <w:sz w:val="24"/>
              <w:szCs w:val="24"/>
            </w:rPr>
            <w:fldChar w:fldCharType="end"/>
          </w:r>
          <w:r>
            <w:rPr>
              <w:rFonts w:hint="default" w:ascii="宋体" w:hAnsi="宋体" w:eastAsia="宋体" w:cs="宋体"/>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_Toc19585 </w:instrText>
          </w:r>
          <w:r>
            <w:rPr>
              <w:rFonts w:hint="eastAsia" w:ascii="黑体" w:hAnsi="黑体" w:eastAsia="黑体" w:cs="黑体"/>
              <w:sz w:val="30"/>
              <w:szCs w:val="30"/>
            </w:rPr>
            <w:fldChar w:fldCharType="separate"/>
          </w:r>
          <w:r>
            <w:rPr>
              <w:rFonts w:hint="eastAsia" w:ascii="黑体" w:hAnsi="黑体" w:eastAsia="黑体" w:cs="黑体"/>
              <w:sz w:val="30"/>
              <w:szCs w:val="30"/>
              <w:lang w:val="en-US" w:eastAsia="zh-CN"/>
            </w:rPr>
            <w:t>第三章保障措施</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_Toc19585 \h </w:instrText>
          </w:r>
          <w:r>
            <w:rPr>
              <w:rFonts w:hint="eastAsia" w:ascii="黑体" w:hAnsi="黑体" w:eastAsia="黑体" w:cs="黑体"/>
              <w:sz w:val="30"/>
              <w:szCs w:val="30"/>
            </w:rPr>
            <w:fldChar w:fldCharType="separate"/>
          </w:r>
          <w:r>
            <w:rPr>
              <w:rFonts w:hint="eastAsia" w:ascii="黑体" w:hAnsi="黑体" w:eastAsia="黑体" w:cs="黑体"/>
              <w:sz w:val="30"/>
              <w:szCs w:val="30"/>
            </w:rPr>
            <w:t>13</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rPr>
            <w:fldChar w:fldCharType="begin"/>
          </w:r>
          <w:r>
            <w:rPr>
              <w:rFonts w:hint="eastAsia" w:ascii="黑体" w:hAnsi="黑体" w:eastAsia="黑体" w:cs="黑体"/>
              <w:b/>
              <w:bCs/>
              <w:sz w:val="24"/>
              <w:szCs w:val="24"/>
            </w:rPr>
            <w:instrText xml:space="preserve"> HYPERLINK \l _Toc1873 </w:instrText>
          </w:r>
          <w:r>
            <w:rPr>
              <w:rFonts w:hint="eastAsia" w:ascii="黑体" w:hAnsi="黑体" w:eastAsia="黑体" w:cs="黑体"/>
              <w:b/>
              <w:bCs/>
              <w:sz w:val="24"/>
              <w:szCs w:val="24"/>
            </w:rPr>
            <w:fldChar w:fldCharType="separate"/>
          </w:r>
          <w:r>
            <w:rPr>
              <w:rFonts w:hint="eastAsia" w:ascii="黑体" w:hAnsi="黑体" w:eastAsia="黑体" w:cs="黑体"/>
              <w:b/>
              <w:bCs/>
              <w:kern w:val="2"/>
              <w:sz w:val="24"/>
              <w:szCs w:val="24"/>
              <w:highlight w:val="none"/>
              <w:lang w:val="en-US" w:eastAsia="zh-CN"/>
            </w:rPr>
            <w:t>一、加强党的全面领导</w:t>
          </w:r>
          <w:r>
            <w:rPr>
              <w:rFonts w:hint="eastAsia" w:ascii="黑体" w:hAnsi="黑体" w:eastAsia="黑体" w:cs="黑体"/>
              <w:b/>
              <w:bCs/>
              <w:sz w:val="24"/>
              <w:szCs w:val="24"/>
            </w:rPr>
            <w:tab/>
          </w:r>
          <w:r>
            <w:rPr>
              <w:rFonts w:hint="eastAsia" w:ascii="黑体" w:hAnsi="黑体" w:eastAsia="黑体" w:cs="黑体"/>
              <w:b/>
              <w:bCs/>
              <w:sz w:val="24"/>
              <w:szCs w:val="24"/>
            </w:rPr>
            <w:fldChar w:fldCharType="begin"/>
          </w:r>
          <w:r>
            <w:rPr>
              <w:rFonts w:hint="eastAsia" w:ascii="黑体" w:hAnsi="黑体" w:eastAsia="黑体" w:cs="黑体"/>
              <w:b/>
              <w:bCs/>
              <w:sz w:val="24"/>
              <w:szCs w:val="24"/>
            </w:rPr>
            <w:instrText xml:space="preserve"> PAGEREF _Toc1873 \h </w:instrText>
          </w:r>
          <w:r>
            <w:rPr>
              <w:rFonts w:hint="eastAsia" w:ascii="黑体" w:hAnsi="黑体" w:eastAsia="黑体" w:cs="黑体"/>
              <w:b/>
              <w:bCs/>
              <w:sz w:val="24"/>
              <w:szCs w:val="24"/>
            </w:rPr>
            <w:fldChar w:fldCharType="separate"/>
          </w:r>
          <w:r>
            <w:rPr>
              <w:rFonts w:hint="eastAsia" w:ascii="黑体" w:hAnsi="黑体" w:eastAsia="黑体" w:cs="黑体"/>
              <w:b/>
              <w:bCs/>
              <w:sz w:val="24"/>
              <w:szCs w:val="24"/>
            </w:rPr>
            <w:t>13</w:t>
          </w:r>
          <w:r>
            <w:rPr>
              <w:rFonts w:hint="eastAsia" w:ascii="黑体" w:hAnsi="黑体" w:eastAsia="黑体" w:cs="黑体"/>
              <w:b/>
              <w:bCs/>
              <w:sz w:val="24"/>
              <w:szCs w:val="24"/>
            </w:rPr>
            <w:fldChar w:fldCharType="end"/>
          </w:r>
          <w:r>
            <w:rPr>
              <w:rFonts w:hint="eastAsia" w:ascii="黑体" w:hAnsi="黑体" w:eastAsia="黑体" w:cs="黑体"/>
              <w:b/>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rPr>
            <w:fldChar w:fldCharType="begin"/>
          </w:r>
          <w:r>
            <w:rPr>
              <w:rFonts w:hint="eastAsia" w:ascii="黑体" w:hAnsi="黑体" w:eastAsia="黑体" w:cs="黑体"/>
              <w:b/>
              <w:bCs/>
              <w:sz w:val="24"/>
              <w:szCs w:val="24"/>
            </w:rPr>
            <w:instrText xml:space="preserve"> HYPERLINK \l _Toc23386 </w:instrText>
          </w:r>
          <w:r>
            <w:rPr>
              <w:rFonts w:hint="eastAsia" w:ascii="黑体" w:hAnsi="黑体" w:eastAsia="黑体" w:cs="黑体"/>
              <w:b/>
              <w:bCs/>
              <w:sz w:val="24"/>
              <w:szCs w:val="24"/>
            </w:rPr>
            <w:fldChar w:fldCharType="separate"/>
          </w:r>
          <w:r>
            <w:rPr>
              <w:rFonts w:hint="eastAsia" w:ascii="黑体" w:hAnsi="黑体" w:eastAsia="黑体" w:cs="黑体"/>
              <w:b/>
              <w:bCs/>
              <w:kern w:val="0"/>
              <w:sz w:val="24"/>
              <w:szCs w:val="24"/>
              <w:lang w:val="en-US" w:eastAsia="zh-CN" w:bidi="ar"/>
            </w:rPr>
            <w:t>二、优化城乡建设领域营商环境</w:t>
          </w:r>
          <w:r>
            <w:rPr>
              <w:rFonts w:hint="eastAsia" w:ascii="黑体" w:hAnsi="黑体" w:eastAsia="黑体" w:cs="黑体"/>
              <w:b/>
              <w:bCs/>
              <w:sz w:val="24"/>
              <w:szCs w:val="24"/>
            </w:rPr>
            <w:tab/>
          </w:r>
          <w:r>
            <w:rPr>
              <w:rFonts w:hint="eastAsia" w:ascii="黑体" w:hAnsi="黑体" w:eastAsia="黑体" w:cs="黑体"/>
              <w:b/>
              <w:bCs/>
              <w:sz w:val="24"/>
              <w:szCs w:val="24"/>
            </w:rPr>
            <w:fldChar w:fldCharType="begin"/>
          </w:r>
          <w:r>
            <w:rPr>
              <w:rFonts w:hint="eastAsia" w:ascii="黑体" w:hAnsi="黑体" w:eastAsia="黑体" w:cs="黑体"/>
              <w:b/>
              <w:bCs/>
              <w:sz w:val="24"/>
              <w:szCs w:val="24"/>
            </w:rPr>
            <w:instrText xml:space="preserve"> PAGEREF _Toc23386 \h </w:instrText>
          </w:r>
          <w:r>
            <w:rPr>
              <w:rFonts w:hint="eastAsia" w:ascii="黑体" w:hAnsi="黑体" w:eastAsia="黑体" w:cs="黑体"/>
              <w:b/>
              <w:bCs/>
              <w:sz w:val="24"/>
              <w:szCs w:val="24"/>
            </w:rPr>
            <w:fldChar w:fldCharType="separate"/>
          </w:r>
          <w:r>
            <w:rPr>
              <w:rFonts w:hint="eastAsia" w:ascii="黑体" w:hAnsi="黑体" w:eastAsia="黑体" w:cs="黑体"/>
              <w:b/>
              <w:bCs/>
              <w:sz w:val="24"/>
              <w:szCs w:val="24"/>
            </w:rPr>
            <w:t>13</w:t>
          </w:r>
          <w:r>
            <w:rPr>
              <w:rFonts w:hint="eastAsia" w:ascii="黑体" w:hAnsi="黑体" w:eastAsia="黑体" w:cs="黑体"/>
              <w:b/>
              <w:bCs/>
              <w:sz w:val="24"/>
              <w:szCs w:val="24"/>
            </w:rPr>
            <w:fldChar w:fldCharType="end"/>
          </w:r>
          <w:r>
            <w:rPr>
              <w:rFonts w:hint="eastAsia" w:ascii="黑体" w:hAnsi="黑体" w:eastAsia="黑体" w:cs="黑体"/>
              <w:b/>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rPr>
            <w:fldChar w:fldCharType="begin"/>
          </w:r>
          <w:r>
            <w:rPr>
              <w:rFonts w:hint="eastAsia" w:ascii="黑体" w:hAnsi="黑体" w:eastAsia="黑体" w:cs="黑体"/>
              <w:b/>
              <w:bCs/>
              <w:sz w:val="24"/>
              <w:szCs w:val="24"/>
            </w:rPr>
            <w:instrText xml:space="preserve"> HYPERLINK \l _Toc22791 </w:instrText>
          </w:r>
          <w:r>
            <w:rPr>
              <w:rFonts w:hint="eastAsia" w:ascii="黑体" w:hAnsi="黑体" w:eastAsia="黑体" w:cs="黑体"/>
              <w:b/>
              <w:bCs/>
              <w:sz w:val="24"/>
              <w:szCs w:val="24"/>
            </w:rPr>
            <w:fldChar w:fldCharType="separate"/>
          </w:r>
          <w:r>
            <w:rPr>
              <w:rFonts w:hint="eastAsia" w:ascii="黑体" w:hAnsi="黑体" w:eastAsia="黑体" w:cs="黑体"/>
              <w:b/>
              <w:bCs/>
              <w:kern w:val="0"/>
              <w:sz w:val="24"/>
              <w:szCs w:val="24"/>
              <w:lang w:val="en-US" w:eastAsia="zh-CN" w:bidi="ar"/>
            </w:rPr>
            <w:t>三、提高城乡建设资金投入</w:t>
          </w:r>
          <w:r>
            <w:rPr>
              <w:rFonts w:hint="eastAsia" w:ascii="黑体" w:hAnsi="黑体" w:eastAsia="黑体" w:cs="黑体"/>
              <w:b/>
              <w:bCs/>
              <w:sz w:val="24"/>
              <w:szCs w:val="24"/>
            </w:rPr>
            <w:tab/>
          </w:r>
          <w:r>
            <w:rPr>
              <w:rFonts w:hint="eastAsia" w:ascii="黑体" w:hAnsi="黑体" w:eastAsia="黑体" w:cs="黑体"/>
              <w:b/>
              <w:bCs/>
              <w:sz w:val="24"/>
              <w:szCs w:val="24"/>
            </w:rPr>
            <w:fldChar w:fldCharType="begin"/>
          </w:r>
          <w:r>
            <w:rPr>
              <w:rFonts w:hint="eastAsia" w:ascii="黑体" w:hAnsi="黑体" w:eastAsia="黑体" w:cs="黑体"/>
              <w:b/>
              <w:bCs/>
              <w:sz w:val="24"/>
              <w:szCs w:val="24"/>
            </w:rPr>
            <w:instrText xml:space="preserve"> PAGEREF _Toc22791 \h </w:instrText>
          </w:r>
          <w:r>
            <w:rPr>
              <w:rFonts w:hint="eastAsia" w:ascii="黑体" w:hAnsi="黑体" w:eastAsia="黑体" w:cs="黑体"/>
              <w:b/>
              <w:bCs/>
              <w:sz w:val="24"/>
              <w:szCs w:val="24"/>
            </w:rPr>
            <w:fldChar w:fldCharType="separate"/>
          </w:r>
          <w:r>
            <w:rPr>
              <w:rFonts w:hint="eastAsia" w:ascii="黑体" w:hAnsi="黑体" w:eastAsia="黑体" w:cs="黑体"/>
              <w:b/>
              <w:bCs/>
              <w:sz w:val="24"/>
              <w:szCs w:val="24"/>
            </w:rPr>
            <w:t>13</w:t>
          </w:r>
          <w:r>
            <w:rPr>
              <w:rFonts w:hint="eastAsia" w:ascii="黑体" w:hAnsi="黑体" w:eastAsia="黑体" w:cs="黑体"/>
              <w:b/>
              <w:bCs/>
              <w:sz w:val="24"/>
              <w:szCs w:val="24"/>
            </w:rPr>
            <w:fldChar w:fldCharType="end"/>
          </w:r>
          <w:r>
            <w:rPr>
              <w:rFonts w:hint="eastAsia" w:ascii="黑体" w:hAnsi="黑体" w:eastAsia="黑体" w:cs="黑体"/>
              <w:b/>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黑体" w:hAnsi="黑体" w:eastAsia="黑体" w:cs="黑体"/>
              <w:b/>
              <w:bCs/>
              <w:sz w:val="24"/>
              <w:szCs w:val="24"/>
            </w:rPr>
          </w:pPr>
          <w:r>
            <w:rPr>
              <w:rFonts w:hint="eastAsia" w:ascii="黑体" w:hAnsi="黑体" w:eastAsia="黑体" w:cs="黑体"/>
              <w:b/>
              <w:bCs/>
              <w:sz w:val="24"/>
              <w:szCs w:val="24"/>
            </w:rPr>
            <w:fldChar w:fldCharType="begin"/>
          </w:r>
          <w:r>
            <w:rPr>
              <w:rFonts w:hint="eastAsia" w:ascii="黑体" w:hAnsi="黑体" w:eastAsia="黑体" w:cs="黑体"/>
              <w:b/>
              <w:bCs/>
              <w:sz w:val="24"/>
              <w:szCs w:val="24"/>
            </w:rPr>
            <w:instrText xml:space="preserve"> HYPERLINK \l _Toc7447 </w:instrText>
          </w:r>
          <w:r>
            <w:rPr>
              <w:rFonts w:hint="eastAsia" w:ascii="黑体" w:hAnsi="黑体" w:eastAsia="黑体" w:cs="黑体"/>
              <w:b/>
              <w:bCs/>
              <w:sz w:val="24"/>
              <w:szCs w:val="24"/>
            </w:rPr>
            <w:fldChar w:fldCharType="separate"/>
          </w:r>
          <w:r>
            <w:rPr>
              <w:rFonts w:hint="eastAsia" w:ascii="黑体" w:hAnsi="黑体" w:eastAsia="黑体" w:cs="黑体"/>
              <w:b/>
              <w:bCs/>
              <w:kern w:val="0"/>
              <w:sz w:val="24"/>
              <w:szCs w:val="24"/>
              <w:lang w:val="en-US" w:eastAsia="zh-CN" w:bidi="ar"/>
            </w:rPr>
            <w:t>四、加强规划实施</w:t>
          </w:r>
          <w:r>
            <w:rPr>
              <w:rFonts w:hint="eastAsia" w:ascii="黑体" w:hAnsi="黑体" w:eastAsia="黑体" w:cs="黑体"/>
              <w:b/>
              <w:bCs/>
              <w:sz w:val="24"/>
              <w:szCs w:val="24"/>
            </w:rPr>
            <w:tab/>
          </w:r>
          <w:r>
            <w:rPr>
              <w:rFonts w:hint="eastAsia" w:ascii="黑体" w:hAnsi="黑体" w:eastAsia="黑体" w:cs="黑体"/>
              <w:b/>
              <w:bCs/>
              <w:sz w:val="24"/>
              <w:szCs w:val="24"/>
            </w:rPr>
            <w:fldChar w:fldCharType="begin"/>
          </w:r>
          <w:r>
            <w:rPr>
              <w:rFonts w:hint="eastAsia" w:ascii="黑体" w:hAnsi="黑体" w:eastAsia="黑体" w:cs="黑体"/>
              <w:b/>
              <w:bCs/>
              <w:sz w:val="24"/>
              <w:szCs w:val="24"/>
            </w:rPr>
            <w:instrText xml:space="preserve"> PAGEREF _Toc7447 \h </w:instrText>
          </w:r>
          <w:r>
            <w:rPr>
              <w:rFonts w:hint="eastAsia" w:ascii="黑体" w:hAnsi="黑体" w:eastAsia="黑体" w:cs="黑体"/>
              <w:b/>
              <w:bCs/>
              <w:sz w:val="24"/>
              <w:szCs w:val="24"/>
            </w:rPr>
            <w:fldChar w:fldCharType="separate"/>
          </w:r>
          <w:r>
            <w:rPr>
              <w:rFonts w:hint="eastAsia" w:ascii="黑体" w:hAnsi="黑体" w:eastAsia="黑体" w:cs="黑体"/>
              <w:b/>
              <w:bCs/>
              <w:sz w:val="24"/>
              <w:szCs w:val="24"/>
            </w:rPr>
            <w:t>14</w:t>
          </w:r>
          <w:r>
            <w:rPr>
              <w:rFonts w:hint="eastAsia" w:ascii="黑体" w:hAnsi="黑体" w:eastAsia="黑体" w:cs="黑体"/>
              <w:b/>
              <w:bCs/>
              <w:sz w:val="24"/>
              <w:szCs w:val="24"/>
            </w:rPr>
            <w:fldChar w:fldCharType="end"/>
          </w:r>
          <w:r>
            <w:rPr>
              <w:rFonts w:hint="eastAsia" w:ascii="黑体" w:hAnsi="黑体" w:eastAsia="黑体" w:cs="黑体"/>
              <w:b/>
              <w:bCs/>
              <w:sz w:val="24"/>
              <w:szCs w:val="24"/>
            </w:rPr>
            <w:fldChar w:fldCharType="end"/>
          </w:r>
        </w:p>
        <w:p>
          <w:pPr>
            <w:keepNext w:val="0"/>
            <w:keepLines w:val="0"/>
            <w:pageBreakBefore w:val="0"/>
            <w:widowControl/>
            <w:kinsoku/>
            <w:wordWrap/>
            <w:overflowPunct/>
            <w:topLinePunct w:val="0"/>
            <w:autoSpaceDE/>
            <w:autoSpaceDN/>
            <w:bidi w:val="0"/>
            <w:adjustRightInd/>
            <w:snapToGrid/>
            <w:spacing w:line="360" w:lineRule="auto"/>
            <w:textAlignment w:val="auto"/>
          </w:pPr>
          <w:r>
            <w:rPr>
              <w:rFonts w:hint="eastAsia" w:ascii="宋体" w:hAnsi="宋体" w:eastAsia="宋体" w:cs="宋体"/>
              <w:szCs w:val="24"/>
            </w:rPr>
            <w:fldChar w:fldCharType="end"/>
          </w:r>
        </w:p>
      </w:sdtContent>
    </w:sdt>
    <w:p>
      <w:pPr>
        <w:tabs>
          <w:tab w:val="left" w:pos="2755"/>
        </w:tabs>
        <w:bidi w:val="0"/>
        <w:jc w:val="left"/>
        <w:rPr>
          <w:rFonts w:hint="eastAsia"/>
          <w:lang w:val="en-US" w:eastAsia="zh-CN"/>
        </w:rPr>
        <w:sectPr>
          <w:footerReference r:id="rId3" w:type="default"/>
          <w:pgSz w:w="11906" w:h="16838"/>
          <w:pgMar w:top="1440" w:right="1800" w:bottom="1440" w:left="1800" w:header="851" w:footer="992" w:gutter="0"/>
          <w:pgNumType w:fmt="upperRoman"/>
          <w:cols w:space="425" w:num="1"/>
          <w:docGrid w:type="lines" w:linePitch="312" w:charSpace="0"/>
        </w:sectPr>
      </w:pPr>
      <w:bookmarkStart w:id="0" w:name="_Toc11048"/>
      <w:bookmarkStart w:id="1" w:name="_Toc15257"/>
    </w:p>
    <w:p>
      <w:pPr>
        <w:keepNext w:val="0"/>
        <w:keepLines w:val="0"/>
        <w:widowControl/>
        <w:suppressLineNumbers w:val="0"/>
        <w:jc w:val="center"/>
        <w:outlineLvl w:val="0"/>
        <w:rPr>
          <w:rFonts w:hint="eastAsia" w:ascii="方正小标宋简体" w:hAnsi="方正小标宋简体" w:eastAsia="方正小标宋简体" w:cs="方正小标宋简体"/>
          <w:sz w:val="44"/>
          <w:szCs w:val="44"/>
        </w:rPr>
      </w:pPr>
      <w:bookmarkStart w:id="2" w:name="_Toc11879"/>
      <w:r>
        <w:rPr>
          <w:rFonts w:hint="eastAsia" w:ascii="方正小标宋简体" w:hAnsi="方正小标宋简体" w:eastAsia="方正小标宋简体" w:cs="方正小标宋简体"/>
          <w:color w:val="000000"/>
          <w:kern w:val="0"/>
          <w:sz w:val="44"/>
          <w:szCs w:val="44"/>
          <w:lang w:val="en-US" w:eastAsia="zh-CN" w:bidi="ar"/>
        </w:rPr>
        <w:t>丹东市振安区住房和城乡建设事业</w:t>
      </w:r>
      <w:bookmarkEnd w:id="0"/>
      <w:bookmarkEnd w:id="1"/>
      <w:bookmarkEnd w:id="2"/>
    </w:p>
    <w:p>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“十四五”发展规划</w:t>
      </w:r>
    </w:p>
    <w:p>
      <w:pPr>
        <w:keepNext w:val="0"/>
        <w:keepLines w:val="0"/>
        <w:widowControl/>
        <w:suppressLineNumbers w:val="0"/>
        <w:jc w:val="center"/>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（征求意见稿）</w:t>
      </w:r>
    </w:p>
    <w:p>
      <w:pPr>
        <w:keepNext w:val="0"/>
        <w:keepLines w:val="0"/>
        <w:widowControl/>
        <w:suppressLineNumbers w:val="0"/>
        <w:jc w:val="center"/>
        <w:rPr>
          <w:rFonts w:hint="eastAsia" w:ascii="楷体" w:hAnsi="楷体" w:eastAsia="楷体" w:cs="楷体"/>
          <w:color w:val="000000"/>
          <w:kern w:val="0"/>
          <w:sz w:val="10"/>
          <w:szCs w:val="10"/>
          <w:lang w:val="en-US" w:eastAsia="zh-CN" w:bidi="ar"/>
        </w:rPr>
      </w:pPr>
    </w:p>
    <w:p>
      <w:pPr>
        <w:keepNext w:val="0"/>
        <w:keepLines w:val="0"/>
        <w:widowControl/>
        <w:suppressLineNumbers w:val="0"/>
        <w:jc w:val="center"/>
        <w:outlineLvl w:val="0"/>
        <w:rPr>
          <w:rFonts w:hint="eastAsia" w:ascii="黑体" w:hAnsi="黑体" w:eastAsia="黑体" w:cs="黑体"/>
          <w:color w:val="000000"/>
          <w:kern w:val="0"/>
          <w:sz w:val="32"/>
          <w:szCs w:val="32"/>
          <w:lang w:val="en-US" w:eastAsia="zh-CN" w:bidi="ar"/>
        </w:rPr>
      </w:pPr>
      <w:bookmarkStart w:id="3" w:name="_Toc1626"/>
      <w:bookmarkStart w:id="4" w:name="_Toc12465"/>
      <w:r>
        <w:rPr>
          <w:rFonts w:hint="eastAsia" w:ascii="黑体" w:hAnsi="黑体" w:eastAsia="黑体" w:cs="黑体"/>
          <w:b/>
          <w:bCs/>
          <w:color w:val="000000"/>
          <w:kern w:val="0"/>
          <w:sz w:val="32"/>
          <w:szCs w:val="32"/>
          <w:lang w:val="en-US" w:eastAsia="zh-CN" w:bidi="ar"/>
        </w:rPr>
        <w:t>第一章  发展基础</w:t>
      </w:r>
      <w:bookmarkEnd w:id="3"/>
      <w:bookmarkEnd w:id="4"/>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黑体" w:hAnsi="黑体" w:eastAsia="黑体" w:cs="黑体"/>
          <w:b w:val="0"/>
          <w:bCs w:val="0"/>
          <w:color w:val="000000"/>
          <w:kern w:val="0"/>
          <w:sz w:val="32"/>
          <w:szCs w:val="32"/>
          <w:lang w:val="en-US" w:eastAsia="zh-CN" w:bidi="ar"/>
        </w:rPr>
      </w:pPr>
      <w:bookmarkStart w:id="5" w:name="_Toc14878"/>
      <w:bookmarkStart w:id="6" w:name="_Toc21357"/>
      <w:r>
        <w:rPr>
          <w:rFonts w:hint="eastAsia" w:ascii="黑体" w:hAnsi="黑体" w:eastAsia="黑体" w:cs="黑体"/>
          <w:b w:val="0"/>
          <w:bCs w:val="0"/>
          <w:color w:val="000000"/>
          <w:kern w:val="0"/>
          <w:sz w:val="32"/>
          <w:szCs w:val="32"/>
          <w:lang w:val="en-US" w:eastAsia="zh-CN" w:bidi="ar"/>
        </w:rPr>
        <w:t>“十三五”时期发展成就</w:t>
      </w:r>
      <w:bookmarkEnd w:id="5"/>
      <w:bookmarkEnd w:id="6"/>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五年来，区住房和城乡建设局以习近平新时代中国特色社会主义思想为指导，深入贯彻党的十九大和十九届二中、三中、四中、五中全会及习近平总书记关于东北、辽宁振兴发展的重要讲话和指示批示精神，完整、准确、全面贯彻新发展理念，以保障和改善民生为出发点，以深化改革为动力，贯彻落实国家城市更新改造、城乡融合发展和乡村振兴战略，持续推进城市基础设施提升和城乡一体化融合发展，扎实推进“十三五”规划实施，住房和城乡建设事业呈现良好健康发展态势，住房和城乡建设事业高质量发展取得新进展，为“十四五”时期立足新时代、谋划新发展奠定了坚实基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outlineLvl w:val="2"/>
        <w:rPr>
          <w:rFonts w:hint="eastAsia" w:ascii="楷体" w:hAnsi="楷体" w:eastAsia="楷体" w:cs="楷体"/>
          <w:b/>
          <w:bCs/>
          <w:sz w:val="32"/>
          <w:szCs w:val="32"/>
        </w:rPr>
      </w:pPr>
      <w:bookmarkStart w:id="7" w:name="_Toc21419"/>
      <w:r>
        <w:rPr>
          <w:rFonts w:hint="eastAsia" w:ascii="楷体" w:hAnsi="楷体" w:eastAsia="楷体" w:cs="楷体"/>
          <w:b/>
          <w:bCs/>
          <w:color w:val="000000"/>
          <w:kern w:val="0"/>
          <w:sz w:val="32"/>
          <w:szCs w:val="32"/>
          <w:lang w:val="en-US" w:eastAsia="zh-CN" w:bidi="ar"/>
        </w:rPr>
        <w:t>（一）房地产市场保持平稳运行</w:t>
      </w:r>
      <w:bookmarkEnd w:id="7"/>
      <w:r>
        <w:rPr>
          <w:rFonts w:hint="eastAsia" w:ascii="楷体" w:hAnsi="楷体" w:eastAsia="楷体" w:cs="楷体"/>
          <w:b/>
          <w:bCs/>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eastAsia="仿宋_GB2312"/>
          <w:sz w:val="32"/>
          <w:szCs w:val="32"/>
          <w:lang w:val="en-US" w:eastAsia="zh-CN"/>
        </w:rPr>
      </w:pPr>
      <w:r>
        <w:rPr>
          <w:rFonts w:hint="eastAsia" w:ascii="仿宋_GB2312" w:hAnsi="仿宋_GB2312" w:eastAsia="仿宋_GB2312" w:cs="仿宋_GB2312"/>
          <w:b/>
          <w:bCs/>
          <w:color w:val="000000"/>
          <w:kern w:val="0"/>
          <w:sz w:val="32"/>
          <w:szCs w:val="32"/>
          <w:lang w:val="en-US" w:eastAsia="zh-CN" w:bidi="ar"/>
        </w:rPr>
        <w:t>1.稳妥实施房地产长效机制方案。</w:t>
      </w:r>
      <w:r>
        <w:rPr>
          <w:rFonts w:hint="eastAsia" w:ascii="仿宋_GB2312" w:hAnsi="仿宋_GB2312" w:eastAsia="仿宋_GB2312" w:cs="仿宋_GB2312"/>
          <w:color w:val="000000"/>
          <w:kern w:val="0"/>
          <w:sz w:val="32"/>
          <w:szCs w:val="32"/>
          <w:lang w:val="en-US" w:eastAsia="zh-CN" w:bidi="ar"/>
        </w:rPr>
        <w:t>全面夯实城市政府主体责任制，多措并举稳控房地产市场，有效遏制了房价过快上涨势头，市场预期回</w:t>
      </w:r>
      <w:r>
        <w:rPr>
          <w:rFonts w:hint="eastAsia" w:ascii="仿宋_GB2312" w:eastAsia="仿宋_GB2312"/>
          <w:sz w:val="32"/>
          <w:szCs w:val="32"/>
          <w:lang w:val="en-US" w:eastAsia="zh-CN"/>
        </w:rPr>
        <w:t>归理性，房地产市场基本实现稳地价、稳房价、稳预期目标。</w:t>
      </w:r>
      <w:r>
        <w:rPr>
          <w:rFonts w:hint="eastAsia" w:ascii="仿宋_GB2312" w:eastAsia="仿宋_GB2312"/>
          <w:sz w:val="32"/>
          <w:szCs w:val="32"/>
          <w:lang w:eastAsia="zh-CN"/>
        </w:rPr>
        <w:t>“十三五”期间，振安区商品住房成交面积为</w:t>
      </w:r>
      <w:r>
        <w:rPr>
          <w:rFonts w:hint="eastAsia" w:ascii="仿宋_GB2312" w:eastAsia="仿宋_GB2312"/>
          <w:sz w:val="32"/>
          <w:szCs w:val="32"/>
          <w:lang w:val="en-US" w:eastAsia="zh-CN"/>
        </w:rPr>
        <w:t>87.66万</w:t>
      </w:r>
      <w:r>
        <w:rPr>
          <w:rFonts w:hint="eastAsia" w:ascii="宋体" w:hAnsi="宋体" w:eastAsia="宋体" w:cs="宋体"/>
          <w:sz w:val="32"/>
          <w:szCs w:val="32"/>
          <w:lang w:val="en-US" w:eastAsia="zh-CN"/>
        </w:rPr>
        <w:t>㎡</w:t>
      </w:r>
      <w:r>
        <w:rPr>
          <w:rFonts w:hint="eastAsia" w:ascii="仿宋_GB2312" w:eastAsia="仿宋_GB2312"/>
          <w:sz w:val="32"/>
          <w:szCs w:val="32"/>
          <w:lang w:val="en-US" w:eastAsia="zh-CN"/>
        </w:rPr>
        <w:t>，依次房地产成交价格增速分别为-14</w:t>
      </w:r>
      <w:r>
        <w:rPr>
          <w:rFonts w:hint="eastAsia" w:ascii="宋体" w:hAnsi="宋体" w:eastAsia="宋体" w:cs="宋体"/>
          <w:sz w:val="32"/>
          <w:szCs w:val="32"/>
          <w:lang w:val="en-US" w:eastAsia="zh-CN"/>
        </w:rPr>
        <w:t>％</w:t>
      </w:r>
      <w:r>
        <w:rPr>
          <w:rFonts w:hint="eastAsia" w:ascii="仿宋_GB2312" w:eastAsia="仿宋_GB2312"/>
          <w:sz w:val="32"/>
          <w:szCs w:val="32"/>
          <w:lang w:val="en-US" w:eastAsia="zh-CN"/>
        </w:rPr>
        <w:t>、10</w:t>
      </w:r>
      <w:r>
        <w:rPr>
          <w:rFonts w:hint="eastAsia" w:ascii="宋体" w:hAnsi="宋体" w:eastAsia="宋体" w:cs="宋体"/>
          <w:sz w:val="32"/>
          <w:szCs w:val="32"/>
          <w:lang w:val="en-US" w:eastAsia="zh-CN"/>
        </w:rPr>
        <w:t>％、</w:t>
      </w:r>
      <w:r>
        <w:rPr>
          <w:rFonts w:hint="eastAsia" w:ascii="仿宋_GB2312" w:eastAsia="仿宋_GB2312"/>
          <w:sz w:val="32"/>
          <w:szCs w:val="32"/>
          <w:lang w:val="en-US" w:eastAsia="zh-CN"/>
        </w:rPr>
        <w:t>14</w:t>
      </w:r>
      <w:r>
        <w:rPr>
          <w:rFonts w:hint="eastAsia" w:ascii="宋体" w:hAnsi="宋体" w:eastAsia="宋体" w:cs="宋体"/>
          <w:sz w:val="32"/>
          <w:szCs w:val="32"/>
          <w:lang w:val="en-US" w:eastAsia="zh-CN"/>
        </w:rPr>
        <w:t>％、</w:t>
      </w:r>
      <w:r>
        <w:rPr>
          <w:rFonts w:hint="eastAsia" w:ascii="仿宋_GB2312" w:eastAsia="仿宋_GB2312"/>
          <w:sz w:val="32"/>
          <w:szCs w:val="32"/>
          <w:lang w:val="en-US" w:eastAsia="zh-CN"/>
        </w:rPr>
        <w:t>持平</w:t>
      </w:r>
      <w:r>
        <w:rPr>
          <w:rFonts w:hint="eastAsia" w:ascii="宋体" w:hAnsi="宋体" w:eastAsia="宋体" w:cs="宋体"/>
          <w:sz w:val="32"/>
          <w:szCs w:val="32"/>
          <w:lang w:val="en-US" w:eastAsia="zh-CN"/>
        </w:rPr>
        <w:t>、32％。</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lang w:eastAsia="zh-CN"/>
        </w:rPr>
        <w:t>房地产</w:t>
      </w:r>
      <w:r>
        <w:rPr>
          <w:rFonts w:hint="eastAsia" w:ascii="仿宋_GB2312" w:eastAsia="仿宋_GB2312"/>
          <w:b/>
          <w:bCs/>
          <w:sz w:val="32"/>
          <w:szCs w:val="32"/>
        </w:rPr>
        <w:t>开工项目逐年增多</w:t>
      </w:r>
      <w:r>
        <w:rPr>
          <w:rFonts w:hint="eastAsia" w:ascii="仿宋_GB2312" w:eastAsia="仿宋_GB2312"/>
          <w:b/>
          <w:bCs/>
          <w:sz w:val="32"/>
          <w:szCs w:val="32"/>
          <w:lang w:eastAsia="zh-CN"/>
        </w:rPr>
        <w:t>。</w:t>
      </w:r>
      <w:r>
        <w:rPr>
          <w:rFonts w:hint="eastAsia" w:ascii="仿宋_GB2312" w:eastAsia="仿宋_GB2312"/>
          <w:b w:val="0"/>
          <w:bCs w:val="0"/>
          <w:sz w:val="32"/>
          <w:szCs w:val="32"/>
          <w:lang w:eastAsia="zh-CN"/>
        </w:rPr>
        <w:t>振安区房地产</w:t>
      </w:r>
      <w:r>
        <w:rPr>
          <w:rFonts w:hint="eastAsia" w:ascii="仿宋_GB2312" w:eastAsia="仿宋_GB2312"/>
          <w:b w:val="0"/>
          <w:bCs w:val="0"/>
          <w:sz w:val="32"/>
          <w:szCs w:val="32"/>
        </w:rPr>
        <w:t>开</w:t>
      </w:r>
      <w:r>
        <w:rPr>
          <w:rFonts w:hint="eastAsia" w:ascii="仿宋_GB2312" w:eastAsia="仿宋_GB2312"/>
          <w:sz w:val="32"/>
          <w:szCs w:val="32"/>
        </w:rPr>
        <w:t>工面积、竣工面积大幅度增加。五年</w:t>
      </w:r>
      <w:r>
        <w:rPr>
          <w:rFonts w:hint="eastAsia" w:ascii="仿宋_GB2312" w:eastAsia="仿宋_GB2312"/>
          <w:sz w:val="32"/>
          <w:szCs w:val="32"/>
          <w:lang w:eastAsia="zh-CN"/>
        </w:rPr>
        <w:t>来，</w:t>
      </w:r>
      <w:r>
        <w:rPr>
          <w:rFonts w:hint="eastAsia" w:ascii="仿宋_GB2312" w:eastAsia="仿宋_GB2312"/>
          <w:sz w:val="32"/>
          <w:szCs w:val="32"/>
        </w:rPr>
        <w:t>共实施了溪山壹号、玫瑰港湾、欧尚城、丹建新时代、民兴国际花园、上城梦想、帝博湾、恒林家园等房地产开发项目。</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sz w:val="32"/>
          <w:szCs w:val="32"/>
        </w:rPr>
      </w:pPr>
      <w:r>
        <w:rPr>
          <w:rFonts w:hint="eastAsia" w:ascii="仿宋_GB2312" w:eastAsia="仿宋_GB2312"/>
          <w:b/>
          <w:bCs/>
          <w:sz w:val="32"/>
          <w:szCs w:val="32"/>
          <w:lang w:val="en-US" w:eastAsia="zh-CN"/>
        </w:rPr>
        <w:t>3.</w:t>
      </w:r>
      <w:r>
        <w:rPr>
          <w:rFonts w:hint="eastAsia" w:ascii="仿宋_GB2312" w:hAnsi="仿宋" w:eastAsia="仿宋_GB2312" w:cs="仿宋_GB2312"/>
          <w:b/>
          <w:bCs/>
          <w:sz w:val="32"/>
          <w:szCs w:val="32"/>
        </w:rPr>
        <w:t>加强</w:t>
      </w:r>
      <w:r>
        <w:rPr>
          <w:rFonts w:hint="eastAsia" w:ascii="仿宋_GB2312" w:hAnsi="仿宋" w:eastAsia="仿宋_GB2312" w:cs="仿宋_GB2312"/>
          <w:b/>
          <w:bCs/>
          <w:sz w:val="32"/>
          <w:szCs w:val="32"/>
          <w:lang w:eastAsia="zh-CN"/>
        </w:rPr>
        <w:t>对</w:t>
      </w:r>
      <w:r>
        <w:rPr>
          <w:rFonts w:hint="eastAsia" w:ascii="仿宋_GB2312" w:hAnsi="仿宋" w:eastAsia="仿宋_GB2312" w:cs="仿宋_GB2312"/>
          <w:b/>
          <w:bCs/>
          <w:sz w:val="32"/>
          <w:szCs w:val="32"/>
        </w:rPr>
        <w:t>辖区房地产市场执法检查和监测力度。</w:t>
      </w:r>
      <w:r>
        <w:rPr>
          <w:rFonts w:hint="eastAsia" w:ascii="仿宋_GB2312" w:hAnsi="仿宋" w:eastAsia="仿宋_GB2312"/>
          <w:sz w:val="32"/>
          <w:szCs w:val="32"/>
        </w:rPr>
        <w:t>对辖区房地产开发楼盘、营销、策划等</w:t>
      </w:r>
      <w:r>
        <w:rPr>
          <w:rFonts w:hint="eastAsia" w:ascii="仿宋_GB2312" w:hAnsi="仿宋" w:eastAsia="仿宋_GB2312"/>
          <w:sz w:val="32"/>
          <w:szCs w:val="32"/>
          <w:lang w:eastAsia="zh-CN"/>
        </w:rPr>
        <w:t>工作</w:t>
      </w:r>
      <w:r>
        <w:rPr>
          <w:rFonts w:hint="eastAsia" w:ascii="仿宋_GB2312" w:hAnsi="仿宋" w:eastAsia="仿宋_GB2312"/>
          <w:sz w:val="32"/>
          <w:szCs w:val="32"/>
        </w:rPr>
        <w:t>进行地毯式的排查</w:t>
      </w:r>
      <w:r>
        <w:rPr>
          <w:rFonts w:hint="eastAsia" w:ascii="仿宋_GB2312" w:hAnsi="仿宋" w:eastAsia="仿宋_GB2312"/>
          <w:sz w:val="32"/>
          <w:szCs w:val="32"/>
          <w:lang w:eastAsia="zh-CN"/>
        </w:rPr>
        <w:t>。</w:t>
      </w:r>
      <w:r>
        <w:rPr>
          <w:rFonts w:hint="eastAsia" w:ascii="仿宋_GB2312" w:hAnsi="仿宋" w:eastAsia="仿宋_GB2312"/>
          <w:sz w:val="32"/>
          <w:szCs w:val="32"/>
        </w:rPr>
        <w:t>针对五证不全，不符合商品房销售条件，以认购、预订、排号、发卡等方式向买受人收取或者变相收取定金、预订款等费用，借机抬高价格，针对发布虚假房源信息和广告，商品房销售不予明码标价或者收取未标明的费用等行为，</w:t>
      </w:r>
      <w:r>
        <w:rPr>
          <w:rFonts w:hint="eastAsia" w:ascii="仿宋_GB2312" w:hAnsi="仿宋" w:eastAsia="仿宋_GB2312"/>
          <w:color w:val="auto"/>
          <w:sz w:val="32"/>
          <w:szCs w:val="32"/>
        </w:rPr>
        <w:t>责令限期整改并进行查处。通过</w:t>
      </w:r>
      <w:r>
        <w:rPr>
          <w:rFonts w:hint="eastAsia" w:ascii="仿宋_GB2312" w:hAnsi="仿宋" w:eastAsia="仿宋_GB2312"/>
          <w:sz w:val="32"/>
          <w:szCs w:val="32"/>
        </w:rPr>
        <w:t>一系列的风险隐患排查工作，全面的掌握了开发企业、项目的预（销）售情况。在此基础上，认真收集房地产相关企业的意见与建议,确保各项目的顺利</w:t>
      </w:r>
      <w:r>
        <w:rPr>
          <w:rFonts w:hint="eastAsia" w:ascii="仿宋_GB2312" w:hAnsi="仿宋" w:eastAsia="仿宋_GB2312"/>
          <w:sz w:val="32"/>
          <w:szCs w:val="32"/>
          <w:lang w:eastAsia="zh-CN"/>
        </w:rPr>
        <w:t>实施</w:t>
      </w:r>
      <w:r>
        <w:rPr>
          <w:rFonts w:hint="eastAsia" w:ascii="仿宋_GB2312" w:hAnsi="仿宋" w:eastAsia="仿宋_GB2312"/>
          <w:sz w:val="32"/>
          <w:szCs w:val="32"/>
        </w:rPr>
        <w:t>,促进了我区房地产企业的健康持续发展。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outlineLvl w:val="2"/>
        <w:rPr>
          <w:rFonts w:hint="eastAsia" w:ascii="黑体" w:hAnsi="黑体" w:eastAsia="黑体" w:cs="黑体"/>
          <w:sz w:val="32"/>
          <w:szCs w:val="32"/>
        </w:rPr>
      </w:pPr>
      <w:bookmarkStart w:id="8" w:name="_Toc29053"/>
      <w:r>
        <w:rPr>
          <w:rFonts w:hint="eastAsia" w:ascii="楷体" w:hAnsi="楷体" w:eastAsia="楷体" w:cs="楷体"/>
          <w:b/>
          <w:bCs/>
          <w:color w:val="000000"/>
          <w:kern w:val="0"/>
          <w:sz w:val="32"/>
          <w:szCs w:val="32"/>
          <w:lang w:val="en-US" w:eastAsia="zh-CN" w:bidi="ar"/>
        </w:rPr>
        <w:t>（二）住房保障工作扎实推进</w:t>
      </w:r>
      <w:bookmarkEnd w:id="8"/>
      <w:r>
        <w:rPr>
          <w:rFonts w:hint="eastAsia" w:ascii="黑体" w:hAnsi="黑体" w:eastAsia="黑体" w:cs="黑体"/>
          <w:color w:val="000000"/>
          <w:kern w:val="0"/>
          <w:sz w:val="32"/>
          <w:szCs w:val="32"/>
          <w:lang w:val="en-US" w:eastAsia="zh-CN" w:bidi="ar"/>
        </w:rPr>
        <w:t xml:space="preserve"> </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1.棚户区改造任务基本完成。</w:t>
      </w:r>
      <w:r>
        <w:rPr>
          <w:rFonts w:hint="eastAsia" w:ascii="仿宋_GB2312" w:hAnsi="仿宋_GB2312" w:eastAsia="仿宋_GB2312" w:cs="仿宋_GB2312"/>
          <w:b w:val="0"/>
          <w:bCs w:val="0"/>
          <w:sz w:val="32"/>
          <w:szCs w:val="32"/>
          <w:lang w:val="en-US" w:eastAsia="zh-CN"/>
        </w:rPr>
        <w:t>重点推进棚改重大民生工程。扎实做好棚改项目政府购买服务、贷款项目包装、专项债券申报等工作，按照“分散化、货币化、市场化”要求，创新货币化安置方式。“十三五”期间，全区完成棚改任务4471套。</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b w:val="0"/>
          <w:bCs w:val="0"/>
          <w:color w:val="0000FF"/>
          <w:sz w:val="32"/>
          <w:szCs w:val="32"/>
          <w:lang w:val="en-US" w:eastAsia="zh-CN"/>
        </w:rPr>
      </w:pPr>
      <w:r>
        <w:rPr>
          <w:rFonts w:hint="eastAsia" w:ascii="仿宋_GB2312" w:hAnsi="仿宋_GB2312" w:eastAsia="仿宋_GB2312" w:cs="仿宋_GB2312"/>
          <w:b/>
          <w:bCs/>
          <w:sz w:val="32"/>
          <w:szCs w:val="32"/>
          <w:lang w:val="en-US" w:eastAsia="zh-CN"/>
        </w:rPr>
        <w:t>2.公共租赁住房工作稳步推进。</w:t>
      </w:r>
      <w:r>
        <w:rPr>
          <w:rFonts w:hint="eastAsia" w:ascii="仿宋_GB2312" w:hAnsi="仿宋_GB2312" w:eastAsia="仿宋_GB2312" w:cs="仿宋_GB2312"/>
          <w:b w:val="0"/>
          <w:bCs w:val="0"/>
          <w:sz w:val="32"/>
          <w:szCs w:val="32"/>
          <w:lang w:val="en-US" w:eastAsia="zh-CN"/>
        </w:rPr>
        <w:t>加大公共租赁住房保障力度，实行实物配租与发放租赁补贴相结合，以租赁补贴为主的保障方式，做到应保尽保。推进廉租房和公租房并轨运行，明确住房保障标准，合理确定住房保障范围，健全完善准入退出机制。严格落实“六公开一监督”及“三审两公示”基本制度，做到公开、公平、公正。“十三五”期间，累计549户保障家庭享受公共住房租赁补贴政策。</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kern w:val="2"/>
          <w:sz w:val="32"/>
          <w:szCs w:val="32"/>
          <w:highlight w:val="none"/>
          <w:lang w:val="en-US" w:eastAsia="zh-CN"/>
        </w:rPr>
      </w:pPr>
      <w:r>
        <w:rPr>
          <w:rFonts w:hint="eastAsia" w:ascii="仿宋_GB2312" w:hAnsi="仿宋_GB2312" w:eastAsia="仿宋_GB2312" w:cs="仿宋_GB2312"/>
          <w:b/>
          <w:bCs/>
          <w:color w:val="000000"/>
          <w:sz w:val="32"/>
          <w:szCs w:val="32"/>
          <w:lang w:val="en-US" w:eastAsia="zh-CN"/>
        </w:rPr>
        <w:t>3.扎实推进城镇老旧小区改造工作。</w:t>
      </w:r>
      <w:r>
        <w:rPr>
          <w:rFonts w:hint="eastAsia" w:ascii="Times New Roman" w:hAnsi="Times New Roman" w:eastAsia="仿宋_GB2312" w:cs="Times New Roman"/>
          <w:kern w:val="2"/>
          <w:sz w:val="32"/>
          <w:szCs w:val="32"/>
          <w:highlight w:val="none"/>
          <w:lang w:val="en-US" w:eastAsia="zh-CN"/>
        </w:rPr>
        <w:t>扎实推进城镇老旧小区改造工作。摸清全区既有老旧小区底数，建立项目数据库，协调通信、供热、供水、排水等专营单位，启动了老旧小区改造工作。“十三五”期间，完成（16）个小区的主体改造和外配套改造工作，涉及58栋楼，总建筑面积23.84万，受惠居民3767户，投入改造资金3128万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outlineLvl w:val="2"/>
      </w:pPr>
      <w:bookmarkStart w:id="9" w:name="_Toc29897"/>
      <w:r>
        <w:rPr>
          <w:rFonts w:hint="eastAsia" w:ascii="楷体" w:hAnsi="楷体" w:eastAsia="楷体" w:cs="楷体"/>
          <w:b/>
          <w:bCs/>
          <w:color w:val="000000"/>
          <w:kern w:val="0"/>
          <w:sz w:val="32"/>
          <w:szCs w:val="32"/>
          <w:lang w:val="en-US" w:eastAsia="zh-CN" w:bidi="ar"/>
        </w:rPr>
        <w:t>（三）城市基础设施得到全面提升</w:t>
      </w:r>
      <w:bookmarkEnd w:id="9"/>
      <w:r>
        <w:rPr>
          <w:rFonts w:hint="default" w:ascii="䅂䍄䕅⮺?" w:hAnsi="䅂䍄䕅⮺?" w:eastAsia="䅂䍄䕅⮺?" w:cs="䅂䍄䕅⮺?"/>
          <w:color w:val="000000"/>
          <w:kern w:val="0"/>
          <w:sz w:val="31"/>
          <w:szCs w:val="31"/>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仿宋_GB2312" w:cs="Times New Roman"/>
          <w:kern w:val="2"/>
          <w:sz w:val="32"/>
          <w:szCs w:val="32"/>
          <w:highlight w:val="none"/>
          <w:lang w:eastAsia="zh-CN"/>
        </w:rPr>
      </w:pPr>
      <w:r>
        <w:rPr>
          <w:rFonts w:hint="eastAsia" w:ascii="Times New Roman" w:hAnsi="Times New Roman" w:eastAsia="仿宋_GB2312" w:cs="Times New Roman"/>
          <w:kern w:val="2"/>
          <w:sz w:val="32"/>
          <w:szCs w:val="32"/>
          <w:highlight w:val="none"/>
          <w:lang w:eastAsia="zh-CN"/>
        </w:rPr>
        <w:t>以丹东着力打造“开放型城市、创新型城市、幸福宜居城市”为契机，以推动振安区高质量发展为目标，全面实施城市更新行动，切实推动振安区城乡建设发展方式转变。</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kern w:val="2"/>
          <w:sz w:val="32"/>
          <w:szCs w:val="32"/>
          <w:highlight w:val="none"/>
          <w:lang w:val="en-US" w:eastAsia="zh-CN"/>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1.城市供热保障能力得到有效提升。</w:t>
      </w:r>
      <w:r>
        <w:rPr>
          <w:rFonts w:hint="eastAsia" w:ascii="Times New Roman" w:hAnsi="Times New Roman" w:eastAsia="仿宋_GB2312" w:cs="Times New Roman"/>
          <w:kern w:val="2"/>
          <w:sz w:val="32"/>
          <w:szCs w:val="32"/>
          <w:highlight w:val="none"/>
          <w:lang w:val="en-US" w:eastAsia="zh-CN"/>
        </w:rPr>
        <w:t>供热保障能力得到有效提升。五年来，对9家供热企业实施了“拆小并大”联网工程；对太平湾街道实施了集中供热改造工程，改造管网30公里，新建一座集中供热锅炉房和三座换热站等，投入改造资金约2700万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bCs/>
          <w:color w:val="000000"/>
          <w:kern w:val="0"/>
          <w:sz w:val="32"/>
          <w:szCs w:val="32"/>
          <w:lang w:val="en-US" w:eastAsia="zh-CN" w:bidi="ar"/>
        </w:rPr>
        <w:t>2.城市供热和管网安全保障能力全面增强。</w:t>
      </w:r>
      <w:r>
        <w:rPr>
          <w:rFonts w:hint="eastAsia" w:ascii="仿宋_GB2312" w:hAnsi="仿宋_GB2312" w:eastAsia="仿宋_GB2312" w:cs="仿宋_GB2312"/>
          <w:kern w:val="2"/>
          <w:sz w:val="32"/>
          <w:szCs w:val="32"/>
          <w:highlight w:val="none"/>
          <w:lang w:eastAsia="zh-CN"/>
        </w:rPr>
        <w:t>加强振安区供热、污水管网、窑井盖等设施的风险排查和隐患治理，加强设施设备安全巡查与维护管理，加大供水、供气、供热、排水等老旧管网改造力度，有效降低“跑冒滴漏”现象，确保正常运转</w:t>
      </w:r>
      <w:r>
        <w:rPr>
          <w:rFonts w:hint="eastAsia" w:ascii="仿宋_GB2312" w:hAnsi="仿宋_GB2312" w:eastAsia="仿宋_GB2312" w:cs="仿宋_GB2312"/>
          <w:color w:val="auto"/>
          <w:kern w:val="2"/>
          <w:sz w:val="32"/>
          <w:szCs w:val="32"/>
          <w:highlight w:val="none"/>
          <w:lang w:eastAsia="zh-CN"/>
        </w:rPr>
        <w:t>。“十三五”期间，新建马市岛、楼房镇、同兴镇污水管网合计</w:t>
      </w:r>
      <w:r>
        <w:rPr>
          <w:rFonts w:hint="eastAsia" w:ascii="仿宋_GB2312" w:hAnsi="仿宋_GB2312" w:eastAsia="仿宋_GB2312" w:cs="仿宋_GB2312"/>
          <w:color w:val="auto"/>
          <w:kern w:val="2"/>
          <w:sz w:val="32"/>
          <w:szCs w:val="32"/>
          <w:highlight w:val="none"/>
          <w:lang w:val="en-US" w:eastAsia="zh-CN"/>
        </w:rPr>
        <w:t>91公里</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3.城区道路清扫能力全面提高。</w:t>
      </w:r>
      <w:r>
        <w:rPr>
          <w:rFonts w:hint="eastAsia" w:ascii="仿宋_GB2312" w:hAnsi="仿宋_GB2312" w:eastAsia="仿宋_GB2312" w:cs="仿宋_GB2312"/>
          <w:color w:val="000000"/>
          <w:kern w:val="0"/>
          <w:sz w:val="32"/>
          <w:szCs w:val="32"/>
          <w:lang w:val="en-US" w:eastAsia="zh-CN" w:bidi="ar"/>
        </w:rPr>
        <w:t xml:space="preserve">机械化道路清扫面积扩大，市容环卫专用车辆增加，道路清扫能力不断提高。开展城市生活垃圾分类试点和资源化利用，实施源头减量，城市垃圾无害化处理率保持100%，全面提升了道路清扫保洁质量，全区188名环卫职工对辖区内的20条街路进行无缝隙保洁。 </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4.提升厕所改造工作全面落实。</w:t>
      </w:r>
      <w:r>
        <w:rPr>
          <w:rFonts w:hint="eastAsia" w:ascii="仿宋_GB2312" w:hAnsi="仿宋_GB2312" w:eastAsia="仿宋_GB2312" w:cs="仿宋_GB2312"/>
          <w:sz w:val="32"/>
          <w:szCs w:val="32"/>
          <w:lang w:eastAsia="zh-CN"/>
        </w:rPr>
        <w:t>为保障在我区文明城创建工作中取得优异成绩，结合我区实际情况，对辖区内的</w:t>
      </w:r>
      <w:r>
        <w:rPr>
          <w:rFonts w:hint="eastAsia" w:ascii="仿宋_GB2312" w:hAnsi="仿宋_GB2312" w:eastAsia="仿宋_GB2312" w:cs="仿宋_GB2312"/>
          <w:sz w:val="32"/>
          <w:szCs w:val="32"/>
          <w:lang w:val="en-US" w:eastAsia="zh-CN"/>
        </w:rPr>
        <w:t>8座公厕进行全面提升改造，达到了创城工作点位标准，并有专人定期维护。</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outlineLvl w:val="2"/>
        <w:rPr>
          <w:rFonts w:hint="eastAsia" w:ascii="楷体" w:hAnsi="楷体" w:eastAsia="楷体" w:cs="楷体"/>
          <w:b/>
          <w:bCs/>
        </w:rPr>
      </w:pPr>
      <w:bookmarkStart w:id="10" w:name="_Toc16393"/>
      <w:r>
        <w:rPr>
          <w:rFonts w:hint="eastAsia" w:ascii="楷体" w:hAnsi="楷体" w:eastAsia="楷体" w:cs="楷体"/>
          <w:b/>
          <w:bCs/>
          <w:color w:val="000000"/>
          <w:kern w:val="0"/>
          <w:sz w:val="32"/>
          <w:szCs w:val="32"/>
          <w:lang w:val="en-US" w:eastAsia="zh-CN" w:bidi="ar"/>
        </w:rPr>
        <w:t>（四）乡村环境得到明显改善</w:t>
      </w:r>
      <w:bookmarkEnd w:id="10"/>
      <w:r>
        <w:rPr>
          <w:rFonts w:hint="eastAsia" w:ascii="楷体" w:hAnsi="楷体" w:eastAsia="楷体" w:cs="楷体"/>
          <w:b/>
          <w:bCs/>
          <w:color w:val="000000"/>
          <w:kern w:val="0"/>
          <w:sz w:val="31"/>
          <w:szCs w:val="31"/>
          <w:lang w:val="en-US" w:eastAsia="zh-CN" w:bidi="ar"/>
        </w:rPr>
        <w:t xml:space="preserve"> </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补齐农村环境基础设施短板。</w:t>
      </w:r>
      <w:r>
        <w:rPr>
          <w:rFonts w:hint="eastAsia" w:ascii="仿宋_GB2312" w:hAnsi="仿宋_GB2312" w:eastAsia="仿宋_GB2312" w:cs="仿宋_GB2312"/>
          <w:sz w:val="32"/>
          <w:szCs w:val="32"/>
        </w:rPr>
        <w:t>十三五期间，</w:t>
      </w:r>
      <w:r>
        <w:rPr>
          <w:rFonts w:hint="eastAsia" w:ascii="仿宋_GB2312" w:hAnsi="仿宋_GB2312" w:eastAsia="仿宋_GB2312" w:cs="仿宋_GB2312"/>
          <w:sz w:val="32"/>
          <w:szCs w:val="32"/>
          <w:lang w:eastAsia="zh-CN"/>
        </w:rPr>
        <w:t>区住建局编制</w:t>
      </w:r>
      <w:r>
        <w:rPr>
          <w:rFonts w:hint="eastAsia" w:ascii="仿宋_GB2312" w:hAnsi="仿宋_GB2312" w:eastAsia="仿宋_GB2312" w:cs="仿宋_GB2312"/>
          <w:sz w:val="32"/>
          <w:szCs w:val="32"/>
        </w:rPr>
        <w:t>印发了《振安区农村生活垃圾分类减量工作试点实施方案》，制定《振安区农村生活垃圾治理指导意见》</w:t>
      </w:r>
      <w:r>
        <w:rPr>
          <w:rFonts w:hint="eastAsia" w:ascii="仿宋_GB2312" w:hAnsi="仿宋_GB2312" w:eastAsia="仿宋_GB2312" w:cs="仿宋_GB2312"/>
          <w:sz w:val="32"/>
          <w:szCs w:val="32"/>
          <w:lang w:eastAsia="zh-CN"/>
        </w:rPr>
        <w:t>，成功推进农村生活垃圾分类减量试点工作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以典型带动全区农村生活垃圾整治工作取得显著成效。</w:t>
      </w:r>
      <w:r>
        <w:rPr>
          <w:rFonts w:hint="eastAsia" w:ascii="仿宋_GB2312" w:hAnsi="仿宋_GB2312" w:eastAsia="仿宋_GB2312" w:cs="仿宋_GB2312"/>
          <w:sz w:val="32"/>
          <w:szCs w:val="32"/>
        </w:rPr>
        <w:t>农村生活垃圾收运处置</w:t>
      </w:r>
      <w:r>
        <w:rPr>
          <w:rFonts w:hint="eastAsia" w:ascii="仿宋_GB2312" w:hAnsi="仿宋_GB2312" w:eastAsia="仿宋_GB2312" w:cs="仿宋_GB2312"/>
          <w:sz w:val="32"/>
          <w:szCs w:val="32"/>
          <w:lang w:eastAsia="zh-CN"/>
        </w:rPr>
        <w:t>体系</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取得实效</w:t>
      </w:r>
      <w:r>
        <w:rPr>
          <w:rFonts w:hint="eastAsia" w:ascii="仿宋_GB2312" w:hAnsi="仿宋_GB2312" w:eastAsia="仿宋_GB2312" w:cs="仿宋_GB2312"/>
          <w:sz w:val="32"/>
          <w:szCs w:val="32"/>
        </w:rPr>
        <w:t>，基本</w:t>
      </w:r>
      <w:r>
        <w:rPr>
          <w:rFonts w:hint="eastAsia" w:ascii="仿宋_GB2312" w:hAnsi="仿宋_GB2312" w:eastAsia="仿宋_GB2312" w:cs="仿宋_GB2312"/>
          <w:sz w:val="32"/>
          <w:szCs w:val="32"/>
          <w:lang w:eastAsia="zh-CN"/>
        </w:rPr>
        <w:t>实现</w:t>
      </w:r>
      <w:r>
        <w:rPr>
          <w:rFonts w:hint="eastAsia" w:ascii="仿宋_GB2312" w:hAnsi="仿宋_GB2312" w:eastAsia="仿宋_GB2312" w:cs="仿宋_GB2312"/>
          <w:sz w:val="32"/>
          <w:szCs w:val="32"/>
        </w:rPr>
        <w:t>“户集、村收、镇运、市处理”。垃圾处置体系建设覆盖率100%</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农村危房改造工作落实落细。</w:t>
      </w:r>
      <w:r>
        <w:rPr>
          <w:rFonts w:hint="eastAsia" w:ascii="仿宋_GB2312" w:hAnsi="仿宋_GB2312" w:eastAsia="仿宋_GB2312" w:cs="仿宋_GB2312"/>
          <w:sz w:val="32"/>
          <w:szCs w:val="32"/>
        </w:rPr>
        <w:t>完成农村危房改造</w:t>
      </w:r>
      <w:r>
        <w:rPr>
          <w:rFonts w:hint="eastAsia" w:ascii="仿宋_GB2312" w:hAnsi="仿宋_GB2312" w:eastAsia="仿宋_GB2312" w:cs="仿宋_GB2312"/>
          <w:sz w:val="32"/>
          <w:szCs w:val="32"/>
          <w:lang w:val="en-US" w:eastAsia="zh-CN"/>
        </w:rPr>
        <w:t>131</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动态管理、动态清零、应改尽改、应纳尽纳、不落一户、不落一人，</w:t>
      </w:r>
      <w:r>
        <w:rPr>
          <w:rFonts w:hint="eastAsia" w:ascii="仿宋_GB2312" w:hAnsi="仿宋_GB2312" w:eastAsia="仿宋_GB2312" w:cs="仿宋_GB2312"/>
          <w:sz w:val="32"/>
          <w:szCs w:val="32"/>
          <w:lang w:eastAsia="zh-CN"/>
        </w:rPr>
        <w:t>实现</w:t>
      </w:r>
      <w:r>
        <w:rPr>
          <w:rFonts w:hint="eastAsia" w:ascii="仿宋_GB2312" w:hAnsi="仿宋_GB2312" w:eastAsia="仿宋_GB2312" w:cs="仿宋_GB2312"/>
          <w:sz w:val="32"/>
          <w:szCs w:val="32"/>
        </w:rPr>
        <w:t>所有建档立卡贫困户住房安全有保障，</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助力打赢脱贫</w:t>
      </w:r>
      <w:r>
        <w:rPr>
          <w:rFonts w:hint="eastAsia" w:ascii="仿宋_GB2312" w:hAnsi="仿宋_GB2312" w:eastAsia="仿宋_GB2312" w:cs="仿宋_GB2312"/>
          <w:sz w:val="32"/>
          <w:szCs w:val="32"/>
          <w:lang w:eastAsia="zh-CN"/>
        </w:rPr>
        <w:t>攻坚战贡献应有力量。</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outlineLvl w:val="2"/>
        <w:rPr>
          <w:rFonts w:hint="eastAsia" w:ascii="黑体" w:hAnsi="黑体" w:eastAsia="黑体" w:cs="黑体"/>
        </w:rPr>
      </w:pPr>
      <w:bookmarkStart w:id="11" w:name="_Toc23693"/>
      <w:r>
        <w:rPr>
          <w:rFonts w:hint="eastAsia" w:ascii="楷体" w:hAnsi="楷体" w:eastAsia="楷体" w:cs="楷体"/>
          <w:b/>
          <w:bCs/>
          <w:color w:val="000000"/>
          <w:kern w:val="0"/>
          <w:sz w:val="32"/>
          <w:szCs w:val="32"/>
          <w:lang w:val="en-US" w:eastAsia="zh-CN" w:bidi="ar"/>
        </w:rPr>
        <w:t>（五）营商环境实现不断优化</w:t>
      </w:r>
      <w:bookmarkEnd w:id="11"/>
      <w:r>
        <w:rPr>
          <w:rFonts w:hint="eastAsia" w:ascii="黑体" w:hAnsi="黑体" w:eastAsia="黑体" w:cs="黑体"/>
          <w:color w:val="000000"/>
          <w:kern w:val="0"/>
          <w:sz w:val="32"/>
          <w:szCs w:val="32"/>
          <w:lang w:val="en-US" w:eastAsia="zh-CN" w:bidi="ar"/>
        </w:rPr>
        <w:t xml:space="preserve"> </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1.优化营商环境知晓率和群众企业的参与率不断提升。</w:t>
      </w:r>
      <w:r>
        <w:rPr>
          <w:rFonts w:hint="eastAsia" w:ascii="仿宋_GB2312" w:hAnsi="仿宋_GB2312" w:eastAsia="仿宋_GB2312" w:cs="仿宋_GB2312"/>
          <w:sz w:val="32"/>
          <w:szCs w:val="32"/>
          <w:lang w:val="en-US" w:eastAsia="zh-CN"/>
        </w:rPr>
        <w:t>通过政务服务大厅窗口、企业面对面、互联网等多种方式，以积极的工作态度向社会传达优化营商环境的创新工作新举措。按照区简政放权、放管结合、优化服务的总体工作部署，积极做好全区住建系统行政权力梳理、衔接等工作，保障了行政审批管理事项正常高效运转，使行政审批效率和行政服务水平得到全面提升。</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2.完善建筑市场管理政策体系。</w:t>
      </w:r>
      <w:r>
        <w:rPr>
          <w:rFonts w:hint="eastAsia" w:ascii="仿宋_GB2312" w:hAnsi="仿宋_GB2312" w:eastAsia="仿宋_GB2312" w:cs="仿宋_GB2312"/>
          <w:sz w:val="32"/>
          <w:szCs w:val="32"/>
          <w:lang w:val="en-US" w:eastAsia="zh-CN"/>
        </w:rPr>
        <w:t>“十三五”期间，全区建筑业总产值为64.2亿元，全区共有建筑业企业86家。创国家级、省级、市级优质工程奖项18项，省优工程数量和质量标准示范工程数量2项。大力推进工程建设项目审批制度改革，进一步优化营商环境。建筑市场执法力度进一步加强，开展整治建筑工程施工发包与承包和建筑市场违法行为专项整治行动，加大对违法发包、转包、违法分包、资质资格挂靠等违法违规行为的查处力度，持续规范建筑市场秩序，整治市场顽疾和清理拖欠工程款等工作取得一定成效。贯彻落实党中央、省市关于深化“放管服”改革、创造良好营商环境的决策部署，根据工程建设项目审批制度改革工作“全流程，全覆盖”的要求及上级部门的工作安排，按照统一的审批流程，通过统一的网上审批平台，做好工程建设项目审批中的施工许可审批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outlineLvl w:val="2"/>
        <w:rPr>
          <w:rFonts w:hint="eastAsia" w:ascii="楷体" w:hAnsi="楷体" w:eastAsia="楷体" w:cs="楷体"/>
          <w:b/>
          <w:bCs/>
        </w:rPr>
      </w:pPr>
      <w:bookmarkStart w:id="12" w:name="_Toc21283"/>
      <w:r>
        <w:rPr>
          <w:rFonts w:hint="eastAsia" w:ascii="楷体" w:hAnsi="楷体" w:eastAsia="楷体" w:cs="楷体"/>
          <w:b/>
          <w:bCs/>
          <w:color w:val="000000"/>
          <w:kern w:val="0"/>
          <w:sz w:val="32"/>
          <w:szCs w:val="32"/>
          <w:lang w:val="en-US" w:eastAsia="zh-CN" w:bidi="ar"/>
        </w:rPr>
        <w:t>（六）党的建设得到全面加强</w:t>
      </w:r>
      <w:bookmarkEnd w:id="12"/>
      <w:r>
        <w:rPr>
          <w:rFonts w:hint="eastAsia" w:ascii="楷体" w:hAnsi="楷体" w:eastAsia="楷体" w:cs="楷体"/>
          <w:b/>
          <w:bCs/>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振安区住建局党组</w:t>
      </w:r>
      <w:r>
        <w:rPr>
          <w:rFonts w:hint="eastAsia" w:ascii="仿宋_GB2312" w:hAnsi="仿宋_GB2312" w:eastAsia="仿宋_GB2312" w:cs="仿宋_GB2312"/>
          <w:color w:val="000000"/>
          <w:sz w:val="32"/>
          <w:szCs w:val="32"/>
          <w:shd w:val="clear" w:color="auto" w:fill="FFFFFF"/>
        </w:rPr>
        <w:t>贯彻落实习近平新时代中国特色社会主义思想、党的十九大精神为统领，以改进作风建设为抓手，全面推进党组在思想、组织、作风和反腐倡廉建设，为更好地开展工作提供精神动力和思想政治保证。</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rPr>
        <w:t>坚持政治学习为先，提升干部党性修养。</w:t>
      </w:r>
      <w:r>
        <w:rPr>
          <w:rFonts w:hint="eastAsia" w:ascii="仿宋_GB2312" w:hAnsi="仿宋_GB2312" w:eastAsia="仿宋_GB2312" w:cs="仿宋_GB2312"/>
          <w:color w:val="000000"/>
          <w:sz w:val="32"/>
          <w:szCs w:val="32"/>
          <w:shd w:val="clear" w:color="auto" w:fill="FFFFFF"/>
          <w:lang w:eastAsia="zh-CN"/>
        </w:rPr>
        <w:t>把学习习近平新时代中国特色社会主义思想作为加强政治建设的根本任务，深入学习贯彻党的十九大、十九届二中、三中、四中、五中全会精神，利用主题党日活动组织全体党员干部进行政治理论学习，邀请区委党校教师开展专题授课，进行思想再教育，确保各项精神落到实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b/>
          <w:bCs/>
          <w:color w:val="000000"/>
          <w:sz w:val="32"/>
          <w:szCs w:val="32"/>
        </w:rPr>
        <w:t>坚持机制引领为要，全面规范组织建设。</w:t>
      </w:r>
      <w:r>
        <w:rPr>
          <w:rFonts w:hint="eastAsia" w:ascii="仿宋_GB2312" w:hAnsi="仿宋_GB2312" w:eastAsia="仿宋_GB2312" w:cs="仿宋_GB2312"/>
          <w:color w:val="000000"/>
          <w:sz w:val="32"/>
          <w:szCs w:val="32"/>
          <w:shd w:val="clear" w:color="auto" w:fill="FFFFFF"/>
          <w:lang w:eastAsia="zh-CN"/>
        </w:rPr>
        <w:t> 制定局年度党建工作要点，做好“成绩清单、问题清单、任务清单”的管理。强化支部建设，每季度对各支部党建基础业务进行交叉检查，督促问题整改落实。严格落实民主集中制、党员领导干部双重组织生活、交心谈心、“三会一课”等制度。</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rPr>
        <w:t>坚持廉洁奉公为本，强化纪律作风建设。</w:t>
      </w:r>
      <w:r>
        <w:rPr>
          <w:rFonts w:hint="eastAsia" w:ascii="仿宋_GB2312" w:hAnsi="仿宋_GB2312" w:eastAsia="仿宋_GB2312" w:cs="仿宋_GB2312"/>
          <w:color w:val="000000"/>
          <w:sz w:val="32"/>
          <w:szCs w:val="32"/>
          <w:shd w:val="clear" w:color="auto" w:fill="FFFFFF"/>
          <w:lang w:eastAsia="zh-CN"/>
        </w:rPr>
        <w:t>加强对“三重一大”事项决策机制、廉政风险防控机制执行情况的监督检查，组织开展多形式廉政文化进机关活动，组织党员干部集中学习省、市、区纪委通报，观看警示教育片，始终保持警钟长鸣。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b/>
          <w:color w:val="000000"/>
          <w:sz w:val="32"/>
          <w:szCs w:val="32"/>
          <w:shd w:val="clear" w:color="auto" w:fill="FFFFFF"/>
        </w:rPr>
        <w:t>狠抓</w:t>
      </w:r>
      <w:r>
        <w:rPr>
          <w:rFonts w:hint="eastAsia" w:ascii="仿宋_GB2312" w:hAnsi="仿宋_GB2312" w:eastAsia="仿宋_GB2312" w:cs="仿宋_GB2312"/>
          <w:b/>
          <w:bCs/>
          <w:color w:val="000000"/>
          <w:sz w:val="32"/>
          <w:szCs w:val="32"/>
        </w:rPr>
        <w:fldChar w:fldCharType="begin"/>
      </w:r>
      <w:r>
        <w:rPr>
          <w:rFonts w:hint="eastAsia" w:ascii="仿宋_GB2312" w:hAnsi="仿宋_GB2312" w:eastAsia="仿宋_GB2312" w:cs="仿宋_GB2312"/>
          <w:b/>
          <w:bCs/>
          <w:color w:val="000000"/>
          <w:sz w:val="32"/>
          <w:szCs w:val="32"/>
        </w:rPr>
        <w:instrText xml:space="preserve"> HYPERLINK "http://www.wm114.cn/0o/58/index.html" </w:instrText>
      </w:r>
      <w:r>
        <w:rPr>
          <w:rFonts w:hint="eastAsia" w:ascii="仿宋_GB2312" w:hAnsi="仿宋_GB2312" w:eastAsia="仿宋_GB2312" w:cs="仿宋_GB2312"/>
          <w:b/>
          <w:bCs/>
          <w:color w:val="000000"/>
          <w:sz w:val="32"/>
          <w:szCs w:val="32"/>
        </w:rPr>
        <w:fldChar w:fldCharType="separate"/>
      </w:r>
      <w:r>
        <w:rPr>
          <w:rFonts w:hint="eastAsia" w:ascii="仿宋_GB2312" w:hAnsi="仿宋_GB2312" w:eastAsia="仿宋_GB2312" w:cs="仿宋_GB2312"/>
          <w:b/>
          <w:bCs/>
          <w:color w:val="000000"/>
          <w:sz w:val="32"/>
          <w:szCs w:val="32"/>
        </w:rPr>
        <w:t>意识形态</w:t>
      </w:r>
      <w:r>
        <w:rPr>
          <w:rFonts w:hint="eastAsia" w:ascii="仿宋_GB2312" w:hAnsi="仿宋_GB2312" w:eastAsia="仿宋_GB2312" w:cs="仿宋_GB2312"/>
          <w:b/>
          <w:bCs/>
          <w:color w:val="000000"/>
          <w:sz w:val="32"/>
          <w:szCs w:val="32"/>
        </w:rPr>
        <w:fldChar w:fldCharType="end"/>
      </w:r>
      <w:r>
        <w:rPr>
          <w:rFonts w:hint="eastAsia" w:ascii="仿宋_GB2312" w:hAnsi="仿宋_GB2312" w:eastAsia="仿宋_GB2312" w:cs="仿宋_GB2312"/>
          <w:b/>
          <w:bCs/>
          <w:color w:val="000000"/>
          <w:sz w:val="32"/>
          <w:szCs w:val="32"/>
        </w:rPr>
        <w:t>建设，筑牢思想政治防线</w:t>
      </w:r>
      <w:r>
        <w:rPr>
          <w:rFonts w:hint="eastAsia" w:ascii="仿宋_GB2312" w:hAnsi="仿宋_GB2312" w:eastAsia="仿宋_GB2312" w:cs="仿宋_GB2312"/>
          <w:b/>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坚持把意识形态工作作为党建的重要内容，将意识形态工作纳</w:t>
      </w:r>
      <w:r>
        <w:rPr>
          <w:rFonts w:hint="eastAsia" w:ascii="仿宋_GB2312" w:hAnsi="仿宋_GB2312" w:eastAsia="仿宋_GB2312" w:cs="仿宋_GB2312"/>
          <w:color w:val="000000"/>
          <w:sz w:val="32"/>
          <w:szCs w:val="32"/>
          <w:shd w:val="clear" w:color="auto" w:fill="FFFFFF"/>
          <w:lang w:eastAsia="zh-CN"/>
        </w:rPr>
        <w:fldChar w:fldCharType="begin"/>
      </w:r>
      <w:r>
        <w:rPr>
          <w:rFonts w:hint="eastAsia" w:ascii="仿宋_GB2312" w:hAnsi="仿宋_GB2312" w:eastAsia="仿宋_GB2312" w:cs="仿宋_GB2312"/>
          <w:color w:val="000000"/>
          <w:sz w:val="32"/>
          <w:szCs w:val="32"/>
          <w:shd w:val="clear" w:color="auto" w:fill="FFFFFF"/>
          <w:lang w:eastAsia="zh-CN"/>
        </w:rPr>
        <w:instrText xml:space="preserve"> HYPERLINK "http://www.wm114.cn/wen/139/277629.html" </w:instrText>
      </w:r>
      <w:r>
        <w:rPr>
          <w:rFonts w:hint="eastAsia" w:ascii="仿宋_GB2312" w:hAnsi="仿宋_GB2312" w:eastAsia="仿宋_GB2312" w:cs="仿宋_GB2312"/>
          <w:color w:val="000000"/>
          <w:sz w:val="32"/>
          <w:szCs w:val="32"/>
          <w:shd w:val="clear" w:color="auto" w:fill="FFFFFF"/>
          <w:lang w:eastAsia="zh-CN"/>
        </w:rPr>
        <w:fldChar w:fldCharType="separate"/>
      </w:r>
      <w:r>
        <w:rPr>
          <w:rFonts w:hint="eastAsia" w:ascii="仿宋_GB2312" w:hAnsi="仿宋_GB2312" w:eastAsia="仿宋_GB2312" w:cs="仿宋_GB2312"/>
          <w:color w:val="000000"/>
          <w:sz w:val="32"/>
          <w:szCs w:val="32"/>
          <w:shd w:val="clear" w:color="auto" w:fill="FFFFFF"/>
          <w:lang w:eastAsia="zh-CN"/>
        </w:rPr>
        <w:t>入党</w:t>
      </w:r>
      <w:r>
        <w:rPr>
          <w:rFonts w:hint="eastAsia" w:ascii="仿宋_GB2312" w:hAnsi="仿宋_GB2312" w:eastAsia="仿宋_GB2312" w:cs="仿宋_GB2312"/>
          <w:color w:val="000000"/>
          <w:sz w:val="32"/>
          <w:szCs w:val="32"/>
          <w:shd w:val="clear" w:color="auto" w:fill="FFFFFF"/>
          <w:lang w:eastAsia="zh-CN"/>
        </w:rPr>
        <w:fldChar w:fldCharType="end"/>
      </w:r>
      <w:r>
        <w:rPr>
          <w:rFonts w:hint="eastAsia" w:ascii="仿宋_GB2312" w:hAnsi="仿宋_GB2312" w:eastAsia="仿宋_GB2312" w:cs="仿宋_GB2312"/>
          <w:color w:val="000000"/>
          <w:sz w:val="32"/>
          <w:szCs w:val="32"/>
          <w:shd w:val="clear" w:color="auto" w:fill="FFFFFF"/>
          <w:lang w:eastAsia="zh-CN"/>
        </w:rPr>
        <w:t>建工作责任制，加强舆论阵地建设和管理，严格落实意识形态风险排查，营造风清气正的环境，筑牢思想政治防线。</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000000"/>
          <w:kern w:val="0"/>
          <w:sz w:val="32"/>
          <w:szCs w:val="32"/>
          <w:lang w:val="en-US" w:eastAsia="zh-CN" w:bidi="ar"/>
        </w:rPr>
      </w:pPr>
      <w:bookmarkStart w:id="13" w:name="_Toc733"/>
      <w:r>
        <w:rPr>
          <w:rFonts w:hint="eastAsia" w:ascii="黑体" w:hAnsi="黑体" w:eastAsia="黑体" w:cs="黑体"/>
          <w:color w:val="000000"/>
          <w:kern w:val="0"/>
          <w:sz w:val="32"/>
          <w:szCs w:val="32"/>
          <w:lang w:val="en-US" w:eastAsia="zh-CN" w:bidi="ar"/>
        </w:rPr>
        <w:t>二、“十四五”时期发展环境</w:t>
      </w:r>
      <w:bookmarkEnd w:id="13"/>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十四五”时期，是丹东市经济社会发展迈上新台阶、人民生活水平实现新提高、生态环境治理实现新提升、新时代全面振兴全方位振兴取得新突破的关键时期，也是实现丹东市“十四五”规划纲要确定建设“开放型、创新型和幸福宜居型”城市的攻坚期。丹东市作为拥有百年历史的东北东部重镇和我国重要边境城市，其发展建设历程饱受朝鲜半岛局势不确定性影响，在经历了“十三五”时期全面建设和转型发展后，全市住房和城乡建设事业迎来了高质量发展的新阶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从行业发展环境看，我国住房和城乡建设高质量发展迈出新步伐。“十四五”时期，我国新型城镇化建设赋予新内涵，致力于绿色发展的城乡建设和高质量发展成为新发展阶段的新主题，绿色低碳美丽宜居和韧性城市建设迎来新发展高潮。按照党中央、国务院决策部署，建立房地产市场平稳健康发展的主体责任制，培育发展住房租赁市场；实施城市更新行动，大力推进城镇老旧小区改造，构建完整居住社区，保障新型基础设施落地；把改善人民生活品质放在更加突出位置，健全基本公共服务体系；推进城乡治理能力和治理体系现代化，加强和创新基层社会治理，提高城市精细化管理水平；加强新型城镇化建设提升公共设施水平和服务能力，推进城乡一体化融合发展，实施乡村建设专项行动；智能建造与建筑工业化协同推进，发展装配式建筑、提高建筑水平和建筑品质，带动建筑业全面升级转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center"/>
        <w:textAlignment w:val="auto"/>
        <w:outlineLvl w:val="0"/>
        <w:rPr>
          <w:rFonts w:hint="eastAsia" w:ascii="黑体" w:hAnsi="黑体" w:eastAsia="黑体" w:cs="黑体"/>
          <w:color w:val="000000"/>
          <w:kern w:val="0"/>
          <w:sz w:val="32"/>
          <w:szCs w:val="32"/>
          <w:lang w:val="en-US" w:eastAsia="zh-CN" w:bidi="ar"/>
        </w:rPr>
      </w:pPr>
      <w:bookmarkStart w:id="14" w:name="_Toc30254"/>
      <w:bookmarkStart w:id="15" w:name="_Toc5252"/>
      <w:r>
        <w:rPr>
          <w:rFonts w:hint="eastAsia" w:ascii="黑体" w:hAnsi="黑体" w:eastAsia="黑体" w:cs="黑体"/>
          <w:color w:val="000000"/>
          <w:kern w:val="0"/>
          <w:sz w:val="32"/>
          <w:szCs w:val="32"/>
          <w:lang w:val="en-US" w:eastAsia="zh-CN" w:bidi="ar"/>
        </w:rPr>
        <w:t>第二章 “十四五”时期住房和城乡建设总体构想</w:t>
      </w:r>
      <w:bookmarkEnd w:id="14"/>
      <w:bookmarkEnd w:id="15"/>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b/>
          <w:bCs/>
          <w:color w:val="000000"/>
          <w:kern w:val="0"/>
          <w:sz w:val="32"/>
          <w:szCs w:val="32"/>
          <w:lang w:val="en-US" w:eastAsia="zh-CN" w:bidi="ar"/>
        </w:rPr>
      </w:pPr>
      <w:bookmarkStart w:id="16" w:name="_Toc5081"/>
      <w:bookmarkStart w:id="17" w:name="_Toc30488"/>
      <w:r>
        <w:rPr>
          <w:rFonts w:hint="eastAsia" w:ascii="楷体" w:hAnsi="楷体" w:eastAsia="楷体" w:cs="楷体"/>
          <w:b/>
          <w:bCs/>
          <w:color w:val="000000"/>
          <w:kern w:val="0"/>
          <w:sz w:val="32"/>
          <w:szCs w:val="32"/>
          <w:lang w:val="en-US" w:eastAsia="zh-CN" w:bidi="ar"/>
        </w:rPr>
        <w:t>一、指导思想</w:t>
      </w:r>
      <w:bookmarkEnd w:id="16"/>
      <w:bookmarkEnd w:id="17"/>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高举中国特色社会主义伟大旗帜，以习近平新时代中国特色社会主义思想为指导，全面贯彻落实党的二十大精神和习近平总书记关于东北、辽宁振兴发展的系列重要讲话和指示批示精神，认真贯彻党中央决策部署及省委、市委、区委工作的具体要求，坚持以人民为中心的发展思想，坚持创新、协调、绿色、开放和共享新发展理念，以实施城市更新行动为引领，坚持稳中求进工作总基调，坚持前瞻性思维、全局性谋划，切实转换发展观念、创新制度机制和工作方式，注重补齐城乡基础设施短板，推进城乡融合发展，助力丹东创建国家卫生城市奋力谱写新时代振安区住房和城乡建设事业发展新篇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200" w:firstLine="321" w:firstLineChars="100"/>
        <w:jc w:val="left"/>
        <w:textAlignment w:val="auto"/>
        <w:outlineLvl w:val="1"/>
        <w:rPr>
          <w:rFonts w:hint="eastAsia" w:ascii="楷体" w:hAnsi="楷体" w:eastAsia="楷体" w:cs="楷体"/>
          <w:b/>
          <w:bCs/>
          <w:color w:val="000000"/>
          <w:kern w:val="0"/>
          <w:sz w:val="32"/>
          <w:szCs w:val="32"/>
          <w:lang w:val="en-US" w:eastAsia="zh-CN" w:bidi="ar"/>
        </w:rPr>
      </w:pPr>
      <w:bookmarkStart w:id="18" w:name="_Toc31468"/>
      <w:bookmarkStart w:id="19" w:name="_Toc31851"/>
      <w:r>
        <w:rPr>
          <w:rFonts w:hint="eastAsia" w:ascii="楷体" w:hAnsi="楷体" w:eastAsia="楷体" w:cs="楷体"/>
          <w:b/>
          <w:bCs/>
          <w:color w:val="000000"/>
          <w:kern w:val="0"/>
          <w:sz w:val="32"/>
          <w:szCs w:val="32"/>
          <w:lang w:val="en-US" w:eastAsia="zh-CN" w:bidi="ar"/>
        </w:rPr>
        <w:t>二、基本原则</w:t>
      </w:r>
      <w:bookmarkEnd w:id="18"/>
      <w:bookmarkEnd w:id="19"/>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pPr>
      <w:r>
        <w:rPr>
          <w:rFonts w:hint="eastAsia" w:ascii="仿宋_GB2312" w:hAnsi="仿宋_GB2312" w:eastAsia="仿宋_GB2312" w:cs="仿宋_GB2312"/>
          <w:b/>
          <w:bCs/>
          <w:color w:val="000000"/>
          <w:kern w:val="0"/>
          <w:sz w:val="32"/>
          <w:szCs w:val="32"/>
          <w:lang w:val="en-US" w:eastAsia="zh-CN" w:bidi="ar"/>
        </w:rPr>
        <w:t>1.统筹规划与项目谋划相结合。</w:t>
      </w:r>
      <w:r>
        <w:rPr>
          <w:rFonts w:hint="eastAsia" w:ascii="仿宋_GB2312" w:hAnsi="仿宋_GB2312" w:eastAsia="仿宋_GB2312" w:cs="仿宋_GB2312"/>
          <w:color w:val="000000"/>
          <w:kern w:val="0"/>
          <w:sz w:val="32"/>
          <w:szCs w:val="32"/>
          <w:lang w:val="en-US" w:eastAsia="zh-CN" w:bidi="ar"/>
        </w:rPr>
        <w:t>遵循经济社会发展的规律，树立全面系统观念，充分发挥规划在振安区战略引领和刚性控制的重要作用。统筹规划、建设、管理等各个环节，整合各类资源，调动各方力量，谋划实施一批打基础、利长远、补短板、增动能的项目。</w:t>
      </w:r>
      <w:r>
        <w:rPr>
          <w:rFonts w:hint="default" w:ascii="䅂䍄䕅⮷싋츀" w:hAnsi="䅂䍄䕅⮷싋츀" w:eastAsia="䅂䍄䕅⮷싋츀" w:cs="䅂䍄䕅⮷싋츀"/>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2.绿色低碳与以人为本相结合。</w:t>
      </w:r>
      <w:r>
        <w:rPr>
          <w:rFonts w:hint="eastAsia" w:ascii="仿宋_GB2312" w:hAnsi="仿宋_GB2312" w:eastAsia="仿宋_GB2312" w:cs="仿宋_GB2312"/>
          <w:color w:val="000000"/>
          <w:kern w:val="0"/>
          <w:sz w:val="32"/>
          <w:szCs w:val="32"/>
          <w:lang w:val="en-US" w:eastAsia="zh-CN" w:bidi="ar"/>
        </w:rPr>
        <w:t>牢固树立和践行“绿水青山就是金山银山、冰天雪地也是金山银山”理念，突出重点、狠抓落实，全力做好振安区城乡建设事业“十四五”期间工作，为丹东市发展作出巨大贡献。聚焦人民群众的需求，让人民有更多的幸福感、安全感和获得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eastAsia" w:ascii="楷体" w:hAnsi="楷体" w:eastAsia="楷体" w:cs="楷体"/>
          <w:b/>
          <w:bCs/>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bookmarkStart w:id="20" w:name="_Toc17584"/>
      <w:r>
        <w:rPr>
          <w:rFonts w:hint="eastAsia" w:ascii="仿宋_GB2312" w:hAnsi="仿宋_GB2312" w:eastAsia="仿宋_GB2312" w:cs="仿宋_GB2312"/>
          <w:color w:val="000000"/>
          <w:kern w:val="0"/>
          <w:sz w:val="32"/>
          <w:szCs w:val="32"/>
          <w:lang w:val="en-US" w:eastAsia="zh-CN" w:bidi="ar"/>
        </w:rPr>
        <w:t xml:space="preserve">   </w:t>
      </w:r>
      <w:r>
        <w:rPr>
          <w:rFonts w:hint="eastAsia" w:ascii="楷体" w:hAnsi="楷体" w:eastAsia="楷体" w:cs="楷体"/>
          <w:b/>
          <w:bCs/>
          <w:color w:val="000000"/>
          <w:kern w:val="0"/>
          <w:sz w:val="32"/>
          <w:szCs w:val="32"/>
          <w:lang w:val="en-US" w:eastAsia="zh-CN" w:bidi="ar"/>
        </w:rPr>
        <w:t>三、发展目标</w:t>
      </w:r>
      <w:bookmarkEnd w:id="20"/>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到</w:t>
      </w:r>
      <w:r>
        <w:rPr>
          <w:rFonts w:hint="default" w:ascii="仿宋_GB2312" w:hAnsi="仿宋_GB2312" w:eastAsia="仿宋_GB2312" w:cs="仿宋_GB2312"/>
          <w:color w:val="000000"/>
          <w:kern w:val="0"/>
          <w:sz w:val="32"/>
          <w:szCs w:val="32"/>
          <w:lang w:val="en-US" w:eastAsia="zh-CN" w:bidi="ar"/>
        </w:rPr>
        <w:t xml:space="preserve">2025 </w:t>
      </w:r>
      <w:r>
        <w:rPr>
          <w:rFonts w:hint="eastAsia" w:ascii="仿宋_GB2312" w:hAnsi="仿宋_GB2312" w:eastAsia="仿宋_GB2312" w:cs="仿宋_GB2312"/>
          <w:color w:val="000000"/>
          <w:kern w:val="0"/>
          <w:sz w:val="32"/>
          <w:szCs w:val="32"/>
          <w:lang w:val="en-US" w:eastAsia="zh-CN" w:bidi="ar"/>
        </w:rPr>
        <w:t>年，振安区全力融入丹东市发展规划，努力参与构建绿色发展的城乡建设体制机制政策体系，城区基础设施和公共服务体系、城乡一体化基础设施网络体系和住房发展保障体 系“三大体系”建设阶段性任务基本完成，人居环境质量得到新提升，历史文化遗产保护新格局基本形成，城乡基层治理能力持续增强，绿色生产生活方式普遍推广，人民群众获得感、幸福感、安全感全面提升，取得开放型、创新型、幸福宜居城市的建设成果，展现“最美振安”新画卷，塑造“多彩丹东” 新形象。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200" w:firstLine="321" w:firstLineChars="100"/>
        <w:jc w:val="left"/>
        <w:textAlignment w:val="auto"/>
        <w:outlineLvl w:val="1"/>
        <w:rPr>
          <w:rFonts w:hint="eastAsia" w:ascii="楷体" w:hAnsi="楷体" w:eastAsia="楷体" w:cs="楷体"/>
          <w:b/>
          <w:bCs/>
          <w:color w:val="000000"/>
          <w:kern w:val="0"/>
          <w:sz w:val="32"/>
          <w:szCs w:val="32"/>
          <w:lang w:val="en-US" w:eastAsia="zh-CN" w:bidi="ar"/>
        </w:rPr>
      </w:pPr>
      <w:bookmarkStart w:id="21" w:name="_Toc19878"/>
      <w:bookmarkStart w:id="22" w:name="_Toc1248"/>
      <w:r>
        <w:rPr>
          <w:rFonts w:hint="eastAsia" w:ascii="楷体" w:hAnsi="楷体" w:eastAsia="楷体" w:cs="楷体"/>
          <w:b/>
          <w:bCs/>
          <w:color w:val="000000"/>
          <w:kern w:val="0"/>
          <w:sz w:val="32"/>
          <w:szCs w:val="32"/>
          <w:lang w:val="en-US" w:eastAsia="zh-CN" w:bidi="ar"/>
        </w:rPr>
        <w:t>四、重点任务</w:t>
      </w:r>
      <w:bookmarkEnd w:id="21"/>
      <w:bookmarkEnd w:id="22"/>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outlineLvl w:val="2"/>
        <w:rPr>
          <w:rFonts w:hint="eastAsia" w:ascii="仿宋_GB2312" w:hAnsi="仿宋_GB2312" w:eastAsia="仿宋_GB2312" w:cs="仿宋_GB2312"/>
          <w:b/>
          <w:bCs/>
          <w:color w:val="000000"/>
          <w:kern w:val="0"/>
          <w:sz w:val="32"/>
          <w:szCs w:val="32"/>
          <w:lang w:val="en-US" w:eastAsia="zh-CN" w:bidi="ar"/>
        </w:rPr>
      </w:pPr>
      <w:bookmarkStart w:id="23" w:name="_Toc9481"/>
      <w:r>
        <w:rPr>
          <w:rFonts w:hint="eastAsia" w:ascii="仿宋_GB2312" w:hAnsi="仿宋_GB2312" w:eastAsia="仿宋_GB2312" w:cs="仿宋_GB2312"/>
          <w:b/>
          <w:bCs/>
          <w:color w:val="000000"/>
          <w:kern w:val="0"/>
          <w:sz w:val="32"/>
          <w:szCs w:val="32"/>
          <w:lang w:val="en-US" w:eastAsia="zh-CN" w:bidi="ar"/>
        </w:rPr>
        <w:t>（一）坚持“房住不炒”定位</w:t>
      </w:r>
      <w:bookmarkEnd w:id="23"/>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pPr>
      <w:r>
        <w:rPr>
          <w:rFonts w:hint="eastAsia" w:ascii="仿宋_GB2312" w:hAnsi="仿宋_GB2312" w:eastAsia="仿宋_GB2312" w:cs="仿宋_GB2312"/>
          <w:color w:val="000000"/>
          <w:kern w:val="0"/>
          <w:sz w:val="32"/>
          <w:szCs w:val="32"/>
          <w:lang w:val="en-US" w:eastAsia="zh-CN" w:bidi="ar"/>
        </w:rPr>
        <w:t>建立和完善振安区房地产市场平稳健康发展长效机制，严格执行房地产调控政策，参与建立房地产市场监测预警工作体系，确保房地产市场保持在“价格合理、供求平衡、保障多元、风险可控、预期平稳”的健康发展状态，实现稳地价、稳房价、稳预期目标，构建“可预期、可负担、可选择、可宜居、可持续”的住房发展体系。</w:t>
      </w:r>
      <w:r>
        <w:rPr>
          <w:rFonts w:hint="default" w:ascii="䅂䍄䕅⮷싋츀" w:hAnsi="䅂䍄䕅⮷싋츀" w:eastAsia="䅂䍄䕅⮷싋츀" w:cs="䅂䍄䕅⮷싋츀"/>
          <w:color w:val="000000"/>
          <w:kern w:val="0"/>
          <w:sz w:val="31"/>
          <w:szCs w:val="31"/>
          <w:lang w:val="en-US" w:eastAsia="zh-CN" w:bidi="ar"/>
        </w:rPr>
        <w:t xml:space="preserve">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firstLine="643" w:firstLineChars="200"/>
        <w:jc w:val="left"/>
        <w:textAlignment w:val="auto"/>
        <w:outlineLvl w:val="2"/>
        <w:rPr>
          <w:rFonts w:hint="eastAsia" w:ascii="仿宋_GB2312" w:hAnsi="仿宋_GB2312" w:eastAsia="仿宋_GB2312" w:cs="仿宋_GB2312"/>
          <w:b/>
          <w:bCs/>
          <w:color w:val="000000"/>
          <w:kern w:val="0"/>
          <w:sz w:val="32"/>
          <w:szCs w:val="32"/>
          <w:lang w:val="en-US" w:eastAsia="zh-CN" w:bidi="ar"/>
        </w:rPr>
      </w:pPr>
      <w:bookmarkStart w:id="24" w:name="_Toc12699"/>
      <w:r>
        <w:rPr>
          <w:rFonts w:hint="eastAsia" w:ascii="仿宋_GB2312" w:hAnsi="仿宋_GB2312" w:eastAsia="仿宋_GB2312" w:cs="仿宋_GB2312"/>
          <w:b/>
          <w:bCs/>
          <w:color w:val="000000"/>
          <w:kern w:val="0"/>
          <w:sz w:val="32"/>
          <w:szCs w:val="32"/>
          <w:lang w:val="en-US" w:eastAsia="zh-CN" w:bidi="ar"/>
        </w:rPr>
        <w:t>城市品质实现全面的提升</w:t>
      </w:r>
      <w:bookmarkEnd w:id="24"/>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以绿色发展理念为指引，推进燃气、供暖、自来水、排水老旧管网的提质升级，制定城市公用区域窑井盖专项整治行动方案、塑造城市风貌，加强城市市容市貌精细化管理，提高城市综合治理水平。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outlineLvl w:val="2"/>
        <w:rPr>
          <w:rFonts w:hint="eastAsia" w:ascii="仿宋_GB2312" w:hAnsi="仿宋_GB2312" w:eastAsia="仿宋_GB2312" w:cs="仿宋_GB2312"/>
          <w:b/>
          <w:bCs/>
          <w:color w:val="000000"/>
          <w:kern w:val="0"/>
          <w:sz w:val="32"/>
          <w:szCs w:val="32"/>
          <w:lang w:val="en-US" w:eastAsia="zh-CN" w:bidi="ar"/>
        </w:rPr>
      </w:pPr>
      <w:bookmarkStart w:id="25" w:name="_Toc3941"/>
      <w:r>
        <w:rPr>
          <w:rFonts w:hint="eastAsia" w:ascii="仿宋_GB2312" w:hAnsi="仿宋_GB2312" w:eastAsia="仿宋_GB2312" w:cs="仿宋_GB2312"/>
          <w:b/>
          <w:bCs/>
          <w:color w:val="000000"/>
          <w:kern w:val="0"/>
          <w:sz w:val="32"/>
          <w:szCs w:val="32"/>
          <w:lang w:val="en-US" w:eastAsia="zh-CN" w:bidi="ar"/>
        </w:rPr>
        <w:t>（三）乡村建设实现全面覆盖</w:t>
      </w:r>
      <w:bookmarkEnd w:id="25"/>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统筹考虑城乡结合部、周边农村地区需求，强化城乡基础设施的连接，推动供水、污水、燃气、垃圾处理等市政公用设施城乡联网、共建共享，完成现有农村危房存量改造，保障农村人口住房安全，促进农村人居环境整治和改善。从而实现农村住房安全、饮水干净、出行便捷、村容整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2"/>
        <w:rPr>
          <w:rFonts w:hint="eastAsia" w:ascii="仿宋_GB2312" w:hAnsi="仿宋_GB2312" w:eastAsia="仿宋_GB2312" w:cs="仿宋_GB2312"/>
          <w:b/>
          <w:bCs/>
          <w:color w:val="000000"/>
          <w:kern w:val="0"/>
          <w:sz w:val="32"/>
          <w:szCs w:val="32"/>
          <w:lang w:val="en-US" w:eastAsia="zh-CN" w:bidi="ar"/>
        </w:rPr>
      </w:pPr>
      <w:bookmarkStart w:id="26" w:name="_Toc30843"/>
      <w:r>
        <w:rPr>
          <w:rFonts w:hint="eastAsia" w:ascii="仿宋_GB2312" w:hAnsi="仿宋_GB2312" w:eastAsia="仿宋_GB2312" w:cs="仿宋_GB2312"/>
          <w:b/>
          <w:bCs/>
          <w:color w:val="000000"/>
          <w:kern w:val="0"/>
          <w:sz w:val="32"/>
          <w:szCs w:val="32"/>
          <w:lang w:val="en-US" w:eastAsia="zh-CN" w:bidi="ar"/>
        </w:rPr>
        <w:t>（四）强化保障性住房管理</w:t>
      </w:r>
      <w:bookmarkEnd w:id="26"/>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sz w:val="32"/>
          <w:szCs w:val="32"/>
          <w:lang w:val="en-US" w:eastAsia="zh-CN"/>
        </w:rPr>
        <w:t>逐步建立以公租房、保障性租赁住房和共有产权住房为主体的住房保障体系。实行实物配租与租赁补贴并举，做好公租房保障工作，精准保障城镇中等偏下及以下收入住房困难家庭等住房困难问题，应保尽保。根据市文件的指导精神，适时调整租赁补贴标准，减轻保障对象经济压力。推进住房保障工作便民化服务，提升住房保障管理信息化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平</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。协同各镇（街）做好对已有保障对象的复核工作。根据国家、省、市有关规定和要求，结合振安区实际情况，制定适合的公共租赁住房实物配租分配方案。</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根据国家、省、市有关规定和要求，研究发展保障性租赁住房办法，解决新市民、青年人等群体住房困难问题。协助市住建局研究探索发展共有产权住房，帮助无房常住人口中有一定支付能力、又买不起商品住房的群体拥有产权住房。</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3" w:firstLineChars="200"/>
        <w:textAlignment w:val="auto"/>
        <w:outlineLvl w:val="2"/>
        <w:rPr>
          <w:rFonts w:hint="eastAsia" w:ascii="仿宋_GB2312" w:hAnsi="仿宋_GB2312" w:eastAsia="仿宋_GB2312" w:cs="仿宋_GB2312"/>
          <w:b/>
          <w:bCs/>
          <w:color w:val="000000"/>
          <w:kern w:val="0"/>
          <w:sz w:val="32"/>
          <w:szCs w:val="32"/>
          <w:lang w:val="en-US" w:eastAsia="zh-CN" w:bidi="ar"/>
        </w:rPr>
      </w:pPr>
      <w:bookmarkStart w:id="27" w:name="_Toc20235"/>
      <w:r>
        <w:rPr>
          <w:rFonts w:hint="eastAsia" w:ascii="仿宋_GB2312" w:hAnsi="仿宋_GB2312" w:eastAsia="仿宋_GB2312" w:cs="仿宋_GB2312"/>
          <w:b/>
          <w:bCs/>
          <w:color w:val="000000"/>
          <w:kern w:val="0"/>
          <w:sz w:val="32"/>
          <w:szCs w:val="32"/>
          <w:lang w:val="en-US" w:eastAsia="zh-CN" w:bidi="ar"/>
        </w:rPr>
        <w:t>（五）稳妥推进棚户区改造</w:t>
      </w:r>
      <w:bookmarkEnd w:id="27"/>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充分发挥政府主体责任，全面落实土地、财政、税</w:t>
      </w:r>
      <w:r>
        <w:rPr>
          <w:rFonts w:hint="eastAsia" w:ascii="仿宋_GB2312" w:hAnsi="仿宋_GB2312" w:eastAsia="仿宋_GB2312" w:cs="仿宋_GB2312"/>
          <w:b w:val="0"/>
          <w:bCs w:val="0"/>
          <w:sz w:val="32"/>
          <w:szCs w:val="32"/>
          <w:lang w:val="en-US" w:eastAsia="zh-CN"/>
        </w:rPr>
        <w:t>收、金融等支持政策，创新棚户区改造体制机制，推动政府购买棚改服务，推广政府与社会资本合作模式，发挥开发性、政策性金融支持作用，用好各类中央补助资金及专项建设基金，落实地方配套资金。</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bookmarkStart w:id="28" w:name="_Toc2645"/>
      <w:r>
        <w:rPr>
          <w:rFonts w:hint="eastAsia" w:ascii="仿宋_GB2312" w:hAnsi="仿宋_GB2312" w:eastAsia="仿宋_GB2312" w:cs="仿宋_GB2312"/>
          <w:b/>
          <w:bCs/>
          <w:color w:val="000000"/>
          <w:kern w:val="0"/>
          <w:sz w:val="32"/>
          <w:szCs w:val="32"/>
          <w:lang w:val="en-US" w:eastAsia="zh-CN" w:bidi="ar"/>
        </w:rPr>
        <w:t>（六）</w:t>
      </w:r>
      <w:r>
        <w:rPr>
          <w:rFonts w:hint="default" w:ascii="仿宋_GB2312" w:hAnsi="仿宋_GB2312" w:eastAsia="仿宋_GB2312" w:cs="仿宋_GB2312"/>
          <w:b/>
          <w:bCs/>
          <w:color w:val="000000"/>
          <w:kern w:val="0"/>
          <w:sz w:val="32"/>
          <w:szCs w:val="32"/>
          <w:lang w:val="en-US" w:eastAsia="zh-CN" w:bidi="ar"/>
        </w:rPr>
        <w:t>建立</w:t>
      </w:r>
      <w:r>
        <w:rPr>
          <w:rFonts w:hint="eastAsia" w:ascii="仿宋_GB2312" w:hAnsi="仿宋_GB2312" w:eastAsia="仿宋_GB2312" w:cs="仿宋_GB2312"/>
          <w:b/>
          <w:bCs/>
          <w:color w:val="000000"/>
          <w:kern w:val="0"/>
          <w:sz w:val="32"/>
          <w:szCs w:val="32"/>
          <w:lang w:val="en-US" w:eastAsia="zh-CN" w:bidi="ar"/>
        </w:rPr>
        <w:t>老旧小区改造</w:t>
      </w:r>
      <w:r>
        <w:rPr>
          <w:rFonts w:hint="default" w:ascii="仿宋_GB2312" w:hAnsi="仿宋_GB2312" w:eastAsia="仿宋_GB2312" w:cs="仿宋_GB2312"/>
          <w:b/>
          <w:bCs/>
          <w:color w:val="000000"/>
          <w:kern w:val="0"/>
          <w:sz w:val="32"/>
          <w:szCs w:val="32"/>
          <w:lang w:val="en-US" w:eastAsia="zh-CN" w:bidi="ar"/>
        </w:rPr>
        <w:t>项目推进机制</w:t>
      </w:r>
      <w:bookmarkEnd w:id="28"/>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w:t>
      </w:r>
      <w:r>
        <w:rPr>
          <w:rFonts w:hint="eastAsia" w:ascii="仿宋_GB2312" w:hAnsi="仿宋_GB2312" w:eastAsia="仿宋_GB2312" w:cs="仿宋_GB2312"/>
          <w:color w:val="000000"/>
          <w:sz w:val="32"/>
          <w:szCs w:val="32"/>
          <w:lang w:val="en-US" w:eastAsia="zh-CN"/>
        </w:rPr>
        <w:t>建立区级老旧小区改造工作专班，明确实施主体，简化审批流程，强化工程质量和安全监督，压实项目参建单位主体责任，对工程招投标、质量安全、施工现场管理等重点环节，加大监督检查力度。推动“民意验收”和专业验收相结合。积极引导发动群众参与，健全动员群众参与机制，广泛开展美好环境与幸福生活共同缔造活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color w:val="000000"/>
          <w:sz w:val="32"/>
          <w:szCs w:val="32"/>
          <w:lang w:val="en-US" w:eastAsia="zh-CN"/>
        </w:rPr>
        <w:t>指导镇（街）在老旧小区改造中发挥主导作用，以加强基层党建为引领，将社区治理能力建设融入改造过程，促进小区治理模式创新，推动社会治理和服务重心向基层下移，构建“纵向到底、横向到边、协商共治”的社会治理体系，完善小区长效管理机制。</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sz w:val="32"/>
          <w:szCs w:val="32"/>
          <w:lang w:eastAsia="zh-CN"/>
        </w:rPr>
      </w:pPr>
      <w:bookmarkStart w:id="29" w:name="_Toc32316"/>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推动物业管理转型升级</w:t>
      </w:r>
      <w:bookmarkEnd w:id="29"/>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lightGray"/>
        </w:rPr>
      </w:pPr>
      <w:r>
        <w:rPr>
          <w:rFonts w:hint="eastAsia" w:ascii="仿宋_GB2312" w:hAnsi="仿宋_GB2312" w:eastAsia="仿宋_GB2312" w:cs="仿宋_GB2312"/>
          <w:sz w:val="32"/>
          <w:szCs w:val="32"/>
        </w:rPr>
        <w:t>推动物业管理全覆盖，</w:t>
      </w:r>
      <w:r>
        <w:rPr>
          <w:rFonts w:hint="eastAsia" w:ascii="仿宋_GB2312" w:hAnsi="仿宋_GB2312" w:eastAsia="仿宋_GB2312" w:cs="仿宋_GB2312"/>
          <w:sz w:val="32"/>
          <w:szCs w:val="32"/>
          <w:lang w:eastAsia="zh-CN"/>
        </w:rPr>
        <w:t>全面推进</w:t>
      </w:r>
      <w:r>
        <w:rPr>
          <w:rFonts w:hint="eastAsia" w:ascii="仿宋_GB2312" w:hAnsi="仿宋_GB2312" w:eastAsia="仿宋_GB2312" w:cs="仿宋_GB2312"/>
          <w:sz w:val="32"/>
          <w:szCs w:val="32"/>
        </w:rPr>
        <w:t>“红色物业”</w:t>
      </w:r>
      <w:r>
        <w:rPr>
          <w:rFonts w:hint="eastAsia" w:ascii="仿宋_GB2312" w:hAnsi="仿宋_GB2312" w:eastAsia="仿宋_GB2312" w:cs="仿宋_GB2312"/>
          <w:sz w:val="32"/>
          <w:szCs w:val="32"/>
          <w:lang w:eastAsia="zh-CN"/>
        </w:rPr>
        <w:t>建设活动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指导镇（街）推进“红色业委会”组建工作，</w:t>
      </w:r>
      <w:r>
        <w:rPr>
          <w:rFonts w:hint="eastAsia" w:ascii="仿宋_GB2312" w:hAnsi="仿宋_GB2312" w:eastAsia="仿宋_GB2312" w:cs="仿宋_GB2312"/>
          <w:sz w:val="32"/>
          <w:szCs w:val="32"/>
        </w:rPr>
        <w:t>加强业主</w:t>
      </w:r>
      <w:r>
        <w:rPr>
          <w:rFonts w:hint="eastAsia" w:ascii="仿宋_GB2312" w:hAnsi="仿宋_GB2312" w:eastAsia="仿宋_GB2312" w:cs="仿宋_GB2312"/>
          <w:sz w:val="32"/>
          <w:szCs w:val="32"/>
          <w:lang w:eastAsia="zh-CN"/>
        </w:rPr>
        <w:t>委员会</w:t>
      </w:r>
      <w:r>
        <w:rPr>
          <w:rFonts w:hint="eastAsia" w:ascii="仿宋_GB2312" w:hAnsi="仿宋_GB2312" w:eastAsia="仿宋_GB2312" w:cs="仿宋_GB2312"/>
          <w:sz w:val="32"/>
          <w:szCs w:val="32"/>
        </w:rPr>
        <w:t>制度建设，结合居民意愿和经济承受能力选择物业服务企业。坚持党建引领，推动业主委员会、物业服务企业成立党组织，加快物业行业党组织覆盖，纳入街道党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委统一管理。</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bCs/>
          <w:color w:val="000000"/>
          <w:kern w:val="0"/>
          <w:sz w:val="32"/>
          <w:szCs w:val="32"/>
          <w:lang w:val="en-US" w:eastAsia="zh-CN" w:bidi="ar"/>
        </w:rPr>
      </w:pPr>
      <w:bookmarkStart w:id="30" w:name="_Toc18725"/>
      <w:r>
        <w:rPr>
          <w:rFonts w:hint="eastAsia" w:ascii="仿宋_GB2312" w:hAnsi="仿宋_GB2312" w:eastAsia="仿宋_GB2312" w:cs="仿宋_GB2312"/>
          <w:b/>
          <w:bCs/>
          <w:color w:val="000000"/>
          <w:kern w:val="0"/>
          <w:sz w:val="32"/>
          <w:szCs w:val="32"/>
          <w:lang w:val="en-US" w:eastAsia="zh-CN" w:bidi="ar"/>
        </w:rPr>
        <w:t>（八）加强消防设计审查及验收备案管理</w:t>
      </w:r>
      <w:bookmarkEnd w:id="30"/>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䅂䍄䕅⮺?" w:hAnsi="䅂䍄䕅⮺?" w:eastAsia="䅂䍄䕅⮺?" w:cs="䅂䍄䕅⮺?"/>
          <w:color w:val="000000"/>
          <w:kern w:val="0"/>
          <w:sz w:val="31"/>
          <w:szCs w:val="31"/>
          <w:lang w:val="en-US" w:eastAsia="zh-CN" w:bidi="ar"/>
        </w:rPr>
      </w:pPr>
      <w:r>
        <w:rPr>
          <w:rFonts w:hint="eastAsia" w:ascii="仿宋_GB2312" w:hAnsi="仿宋_GB2312" w:eastAsia="仿宋_GB2312" w:cs="仿宋_GB2312"/>
          <w:sz w:val="32"/>
          <w:szCs w:val="40"/>
          <w:highlight w:val="none"/>
          <w:lang w:val="en-US" w:eastAsia="zh-CN"/>
        </w:rPr>
        <w:t>全力做好振安区建设工程的消防设计审查、消防验收、备案及抽查工作，</w:t>
      </w:r>
      <w:r>
        <w:rPr>
          <w:rFonts w:hint="eastAsia" w:ascii="仿宋_GB2312" w:hAnsi="仿宋_GB2312" w:eastAsia="仿宋_GB2312" w:cs="仿宋_GB2312"/>
          <w:sz w:val="32"/>
          <w:szCs w:val="32"/>
        </w:rPr>
        <w:t>加强消防法律法规和标准培训，</w:t>
      </w:r>
      <w:r>
        <w:rPr>
          <w:rFonts w:hint="eastAsia" w:ascii="仿宋_GB2312" w:hAnsi="仿宋_GB2312" w:eastAsia="仿宋_GB2312" w:cs="仿宋_GB2312"/>
          <w:sz w:val="32"/>
          <w:szCs w:val="32"/>
          <w:lang w:val="en-US" w:eastAsia="zh-CN"/>
        </w:rPr>
        <w:t>强化业务人员对政策法规及规范标准的理解和运用，</w:t>
      </w:r>
      <w:r>
        <w:rPr>
          <w:rFonts w:hint="eastAsia" w:ascii="仿宋_GB2312" w:hAnsi="仿宋_GB2312" w:eastAsia="仿宋_GB2312" w:cs="仿宋_GB2312"/>
          <w:sz w:val="32"/>
          <w:szCs w:val="40"/>
          <w:highlight w:val="none"/>
          <w:lang w:val="en-US" w:eastAsia="zh-CN"/>
        </w:rPr>
        <w:t>并与消防救援部门共享信息。配合消防救援大队，重点对一类高层建筑、养老院、幼儿园开展消防安全督查检查，并对未进行消防验收备案就投入使用的单位进行督促整改。</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600" w:lineRule="exact"/>
        <w:ind w:left="0" w:leftChars="0" w:firstLine="643" w:firstLineChars="200"/>
        <w:jc w:val="left"/>
        <w:textAlignment w:val="auto"/>
        <w:outlineLvl w:val="2"/>
        <w:rPr>
          <w:rFonts w:hint="eastAsia" w:ascii="Times New Roman" w:hAnsi="Times New Roman" w:eastAsia="仿宋_GB2312" w:cs="Times New Roman"/>
          <w:kern w:val="2"/>
          <w:sz w:val="32"/>
          <w:szCs w:val="32"/>
          <w:highlight w:val="none"/>
          <w:lang w:eastAsia="zh-CN"/>
        </w:rPr>
      </w:pPr>
      <w:bookmarkStart w:id="31" w:name="_Toc27833"/>
      <w:r>
        <w:rPr>
          <w:rFonts w:hint="eastAsia" w:ascii="仿宋_GB2312" w:hAnsi="仿宋_GB2312" w:eastAsia="仿宋_GB2312" w:cs="仿宋_GB2312"/>
          <w:b/>
          <w:bCs/>
          <w:kern w:val="2"/>
          <w:sz w:val="32"/>
          <w:szCs w:val="32"/>
          <w:highlight w:val="none"/>
          <w:lang w:eastAsia="zh-CN"/>
        </w:rPr>
        <w:t>继续加强建筑工程安全质量管理</w:t>
      </w:r>
      <w:bookmarkEnd w:id="31"/>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bookmarkStart w:id="32" w:name="_Toc23685"/>
      <w:r>
        <w:rPr>
          <w:rFonts w:hint="eastAsia" w:ascii="仿宋_GB2312" w:hAnsi="仿宋_GB2312" w:eastAsia="仿宋_GB2312" w:cs="仿宋_GB2312"/>
          <w:color w:val="000000"/>
          <w:kern w:val="0"/>
          <w:sz w:val="32"/>
          <w:szCs w:val="32"/>
          <w:lang w:val="en-US" w:eastAsia="zh-CN" w:bidi="ar"/>
        </w:rPr>
        <w:t>充分发挥工程质量监督和安全机构作用，加强工程质量和安全监督队伍建设，保障经费、人员、检测设备，加强人员专业培训。逐步完善监督管理体系，规范监督管理程序，加强监督执法，做到服务与执法有机结合。改变以日常监督为主的检查方式，加强巡回和随机抽查，保证检查内容和部位能够真实反映施工的状况。大力推广装配式建筑、绿色建筑，以技术进步支撑装配式建筑、绿色建筑等新型建造方式发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200"/>
        <w:jc w:val="center"/>
        <w:textAlignment w:val="auto"/>
        <w:outlineLvl w:val="0"/>
        <w:rPr>
          <w:rFonts w:hint="eastAsia" w:ascii="黑体" w:hAnsi="黑体" w:eastAsia="黑体" w:cs="黑体"/>
          <w:kern w:val="2"/>
          <w:sz w:val="32"/>
          <w:szCs w:val="32"/>
          <w:highlight w:val="none"/>
          <w:lang w:val="en-US" w:eastAsia="zh-CN"/>
        </w:rPr>
      </w:pPr>
      <w:bookmarkStart w:id="33" w:name="_Toc19585"/>
      <w:r>
        <w:rPr>
          <w:rFonts w:hint="eastAsia" w:ascii="黑体" w:hAnsi="黑体" w:eastAsia="黑体" w:cs="黑体"/>
          <w:kern w:val="2"/>
          <w:sz w:val="32"/>
          <w:szCs w:val="32"/>
          <w:highlight w:val="none"/>
          <w:lang w:val="en-US" w:eastAsia="zh-CN"/>
        </w:rPr>
        <w:t>第三章保障措施</w:t>
      </w:r>
      <w:bookmarkEnd w:id="32"/>
      <w:bookmarkEnd w:id="33"/>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outlineLvl w:val="1"/>
        <w:rPr>
          <w:rFonts w:hint="eastAsia" w:ascii="楷体" w:hAnsi="楷体" w:eastAsia="楷体" w:cs="楷体"/>
          <w:b/>
          <w:bCs/>
          <w:kern w:val="2"/>
          <w:sz w:val="32"/>
          <w:szCs w:val="32"/>
          <w:highlight w:val="none"/>
          <w:lang w:val="en-US" w:eastAsia="zh-CN"/>
        </w:rPr>
      </w:pPr>
      <w:bookmarkStart w:id="34" w:name="_Toc1873"/>
      <w:bookmarkStart w:id="35" w:name="_Toc9070"/>
      <w:r>
        <w:rPr>
          <w:rFonts w:hint="eastAsia" w:ascii="楷体" w:hAnsi="楷体" w:eastAsia="楷体" w:cs="楷体"/>
          <w:b/>
          <w:bCs/>
          <w:kern w:val="2"/>
          <w:sz w:val="32"/>
          <w:szCs w:val="32"/>
          <w:highlight w:val="none"/>
          <w:lang w:val="en-US" w:eastAsia="zh-CN"/>
        </w:rPr>
        <w:t>一、加强党的全面领导</w:t>
      </w:r>
      <w:bookmarkEnd w:id="34"/>
      <w:bookmarkEnd w:id="35"/>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严格落实习近平总书记重要指示精神和党中央决策部署。将党的全面领导贯穿于振安区住房和城乡建设全过程，切实增强“四个意识”，坚定“四个自信”，做到“两个维护”，健全为民办实事长效机制，执行民主集中制，健全党组议事决策机制，落实全面从严治党责任制和意识形态责任制，压实书记第一责任人管党治党政治责任和领导班子成员“一岗双责”，深刻领会和全面把握“三个务必”重要要求。充分发挥党建工作在围绕中心、服务大局、推动“十四五”规划实施中的统领作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楷体" w:hAnsi="楷体" w:eastAsia="楷体" w:cs="楷体"/>
        </w:rPr>
      </w:pPr>
      <w:bookmarkStart w:id="36" w:name="_Toc25053"/>
      <w:bookmarkStart w:id="37" w:name="_Toc23386"/>
      <w:r>
        <w:rPr>
          <w:rFonts w:hint="eastAsia" w:ascii="楷体" w:hAnsi="楷体" w:eastAsia="楷体" w:cs="楷体"/>
          <w:color w:val="000000"/>
          <w:kern w:val="0"/>
          <w:sz w:val="32"/>
          <w:szCs w:val="32"/>
          <w:lang w:val="en-US" w:eastAsia="zh-CN" w:bidi="ar"/>
        </w:rPr>
        <w:t>二、</w:t>
      </w:r>
      <w:r>
        <w:rPr>
          <w:rFonts w:hint="eastAsia" w:ascii="楷体" w:hAnsi="楷体" w:eastAsia="楷体" w:cs="楷体"/>
          <w:b/>
          <w:bCs/>
          <w:color w:val="000000"/>
          <w:kern w:val="0"/>
          <w:sz w:val="31"/>
          <w:szCs w:val="31"/>
          <w:lang w:val="en-US" w:eastAsia="zh-CN" w:bidi="ar"/>
        </w:rPr>
        <w:t>优化城乡建设领域营商环境</w:t>
      </w:r>
      <w:bookmarkEnd w:id="36"/>
      <w:bookmarkEnd w:id="37"/>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bookmarkStart w:id="38" w:name="_Toc14082"/>
      <w:r>
        <w:rPr>
          <w:rFonts w:hint="eastAsia" w:ascii="仿宋_GB2312" w:hAnsi="仿宋_GB2312" w:eastAsia="仿宋_GB2312" w:cs="仿宋_GB2312"/>
          <w:color w:val="000000"/>
          <w:kern w:val="0"/>
          <w:sz w:val="32"/>
          <w:szCs w:val="32"/>
          <w:lang w:val="en-US" w:eastAsia="zh-CN" w:bidi="ar"/>
        </w:rPr>
        <w:t xml:space="preserve">坚持“管行业就要管作风”，重点加强对施工质量、建筑安全、扬尘治理、燃气管理、房地产开发、住房保障、建筑企业资质、行政审批等方面作风建设督导检查。在行政审批、安全质量、招投标等廉政风险关键环节加强监督。对重点工程项目实行重点管控，以制度约束权力运行，从而使营商环境得到进一步优化。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00" w:firstLineChars="200"/>
        <w:jc w:val="left"/>
        <w:textAlignment w:val="auto"/>
        <w:outlineLvl w:val="1"/>
        <w:rPr>
          <w:rFonts w:hint="eastAsia" w:ascii="楷体" w:hAnsi="楷体" w:eastAsia="楷体" w:cs="楷体"/>
        </w:rPr>
      </w:pPr>
      <w:bookmarkStart w:id="39" w:name="_Toc22791"/>
      <w:r>
        <w:rPr>
          <w:rFonts w:hint="eastAsia" w:ascii="楷体" w:hAnsi="楷体" w:eastAsia="楷体" w:cs="楷体"/>
          <w:color w:val="000000"/>
          <w:kern w:val="0"/>
          <w:sz w:val="30"/>
          <w:szCs w:val="30"/>
          <w:lang w:val="en-US" w:eastAsia="zh-CN" w:bidi="ar"/>
        </w:rPr>
        <w:t>三、</w:t>
      </w:r>
      <w:r>
        <w:rPr>
          <w:rFonts w:hint="eastAsia" w:ascii="楷体" w:hAnsi="楷体" w:eastAsia="楷体" w:cs="楷体"/>
          <w:b/>
          <w:bCs/>
          <w:color w:val="000000"/>
          <w:kern w:val="0"/>
          <w:sz w:val="31"/>
          <w:szCs w:val="31"/>
          <w:lang w:val="en-US" w:eastAsia="zh-CN" w:bidi="ar"/>
        </w:rPr>
        <w:t>提高城乡建设资金投入</w:t>
      </w:r>
      <w:bookmarkEnd w:id="38"/>
      <w:bookmarkEnd w:id="39"/>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kern w:val="2"/>
          <w:sz w:val="32"/>
          <w:szCs w:val="32"/>
          <w:highlight w:val="none"/>
          <w:lang w:val="en-US" w:eastAsia="zh-CN"/>
        </w:rPr>
      </w:pPr>
      <w:r>
        <w:rPr>
          <w:rFonts w:hint="eastAsia" w:ascii="Times New Roman" w:hAnsi="Times New Roman" w:eastAsia="仿宋_GB2312" w:cs="Times New Roman"/>
          <w:kern w:val="2"/>
          <w:sz w:val="32"/>
          <w:szCs w:val="32"/>
          <w:highlight w:val="none"/>
          <w:lang w:val="en-US" w:eastAsia="zh-CN"/>
        </w:rPr>
        <w:t>以项目支出为重点，按照突出保障重点、坚持民生优先、从严从紧编制预算的原则，开展新增预算项目事前评估，加强预算管理。对偏离预算目的项目进行分析，落实补救措施，防范资金风险，确保相关资金投向城市基础设施、环境改善、重大民生等方面的需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02" w:firstLineChars="200"/>
        <w:jc w:val="left"/>
        <w:textAlignment w:val="auto"/>
        <w:outlineLvl w:val="1"/>
        <w:rPr>
          <w:rFonts w:hint="eastAsia" w:ascii="楷体" w:hAnsi="楷体" w:eastAsia="楷体" w:cs="楷体"/>
        </w:rPr>
      </w:pPr>
      <w:bookmarkStart w:id="40" w:name="_Toc7447"/>
      <w:bookmarkStart w:id="41" w:name="_Toc26729"/>
      <w:r>
        <w:rPr>
          <w:rFonts w:hint="eastAsia" w:ascii="楷体" w:hAnsi="楷体" w:eastAsia="楷体" w:cs="楷体"/>
          <w:b/>
          <w:bCs/>
          <w:color w:val="000000"/>
          <w:kern w:val="0"/>
          <w:sz w:val="30"/>
          <w:szCs w:val="30"/>
          <w:lang w:val="en-US" w:eastAsia="zh-CN" w:bidi="ar"/>
        </w:rPr>
        <w:t>四、</w:t>
      </w:r>
      <w:r>
        <w:rPr>
          <w:rFonts w:hint="eastAsia" w:ascii="楷体" w:hAnsi="楷体" w:eastAsia="楷体" w:cs="楷体"/>
          <w:b/>
          <w:bCs/>
          <w:color w:val="000000"/>
          <w:kern w:val="0"/>
          <w:sz w:val="31"/>
          <w:szCs w:val="31"/>
          <w:lang w:val="en-US" w:eastAsia="zh-CN" w:bidi="ar"/>
        </w:rPr>
        <w:t>加强规划实施</w:t>
      </w:r>
      <w:bookmarkEnd w:id="40"/>
      <w:bookmarkEnd w:id="41"/>
    </w:p>
    <w:p>
      <w:pPr>
        <w:keepNext w:val="0"/>
        <w:keepLines w:val="0"/>
        <w:pageBreakBefore w:val="0"/>
        <w:widowControl/>
        <w:suppressLineNumbers w:val="0"/>
        <w:kinsoku/>
        <w:wordWrap/>
        <w:overflowPunct/>
        <w:topLinePunct w:val="0"/>
        <w:autoSpaceDE/>
        <w:autoSpaceDN/>
        <w:bidi w:val="0"/>
        <w:adjustRightInd/>
        <w:snapToGrid/>
        <w:spacing w:line="600" w:lineRule="exact"/>
        <w:ind w:firstLine="602" w:firstLineChars="200"/>
        <w:jc w:val="left"/>
        <w:textAlignment w:val="auto"/>
        <w:rPr>
          <w:rFonts w:hint="eastAsia" w:ascii="Times New Roman" w:hAnsi="Times New Roman" w:eastAsia="仿宋_GB2312" w:cs="Times New Roman"/>
          <w:kern w:val="2"/>
          <w:sz w:val="32"/>
          <w:szCs w:val="32"/>
          <w:highlight w:val="none"/>
          <w:lang w:val="en-US" w:eastAsia="zh-CN"/>
        </w:rPr>
      </w:pPr>
      <w:r>
        <w:rPr>
          <w:rFonts w:ascii="仿宋" w:hAnsi="仿宋" w:eastAsia="仿宋" w:cs="仿宋"/>
          <w:b/>
          <w:bCs/>
          <w:color w:val="000000"/>
          <w:kern w:val="0"/>
          <w:sz w:val="30"/>
          <w:szCs w:val="30"/>
          <w:lang w:val="en-US" w:eastAsia="zh-CN" w:bidi="ar"/>
        </w:rPr>
        <w:t>建立相关部门协作机制。</w:t>
      </w:r>
      <w:r>
        <w:rPr>
          <w:rFonts w:hint="eastAsia" w:ascii="Times New Roman" w:hAnsi="Times New Roman" w:eastAsia="仿宋_GB2312" w:cs="Times New Roman"/>
          <w:kern w:val="2"/>
          <w:sz w:val="32"/>
          <w:szCs w:val="32"/>
          <w:highlight w:val="none"/>
          <w:lang w:val="en-US" w:eastAsia="zh-CN"/>
        </w:rPr>
        <w:t>健全本规划与振安区相关部门和行业专项规划的衔接机制，及时沟通信息，加强政策制定和实施的协调配合，推动各方面的政策措施和改革举措形成合力、落到实处，统筹推进振安区城乡建设高质量发展。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02" w:firstLineChars="200"/>
        <w:jc w:val="left"/>
        <w:textAlignment w:val="auto"/>
        <w:rPr>
          <w:rFonts w:hint="eastAsia" w:ascii="Times New Roman" w:hAnsi="Times New Roman" w:eastAsia="仿宋_GB2312" w:cs="Times New Roman"/>
          <w:kern w:val="2"/>
          <w:sz w:val="32"/>
          <w:szCs w:val="32"/>
          <w:highlight w:val="none"/>
          <w:lang w:val="en-US" w:eastAsia="zh-CN"/>
        </w:rPr>
      </w:pPr>
      <w:r>
        <w:rPr>
          <w:rFonts w:ascii="仿宋" w:hAnsi="仿宋" w:eastAsia="仿宋" w:cs="仿宋"/>
          <w:b/>
          <w:bCs/>
          <w:color w:val="000000"/>
          <w:kern w:val="0"/>
          <w:sz w:val="30"/>
          <w:szCs w:val="30"/>
          <w:lang w:val="en-US" w:eastAsia="zh-CN" w:bidi="ar"/>
        </w:rPr>
        <w:t>建立规划实施工作责任制</w:t>
      </w:r>
      <w:r>
        <w:rPr>
          <w:rFonts w:hint="eastAsia" w:ascii="仿宋" w:hAnsi="仿宋" w:eastAsia="仿宋" w:cs="仿宋"/>
          <w:b/>
          <w:bCs/>
          <w:color w:val="000000"/>
          <w:kern w:val="0"/>
          <w:sz w:val="30"/>
          <w:szCs w:val="30"/>
          <w:lang w:val="en-US" w:eastAsia="zh-CN" w:bidi="ar"/>
        </w:rPr>
        <w:t>。</w:t>
      </w:r>
      <w:r>
        <w:rPr>
          <w:rFonts w:hint="eastAsia" w:ascii="Times New Roman" w:hAnsi="Times New Roman" w:eastAsia="仿宋_GB2312" w:cs="Times New Roman"/>
          <w:kern w:val="2"/>
          <w:sz w:val="32"/>
          <w:szCs w:val="32"/>
          <w:highlight w:val="none"/>
          <w:lang w:val="en-US" w:eastAsia="zh-CN"/>
        </w:rPr>
        <w:t>将本规划确定的重点目标任务分解落实，加强工作督办，每年对规划主要指标完成情况开展评估，在规划实施中期阶段，对规划实施情况开展全面评估，以适当形式向社会公布，自觉接受各方监督。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kern w:val="2"/>
          <w:sz w:val="32"/>
          <w:szCs w:val="32"/>
          <w:highlight w:val="none"/>
          <w:lang w:val="en-US" w:eastAsia="zh-CN"/>
        </w:rPr>
      </w:pPr>
    </w:p>
    <w:p>
      <w:pPr>
        <w:keepNext w:val="0"/>
        <w:keepLines w:val="0"/>
        <w:widowControl/>
        <w:numPr>
          <w:ilvl w:val="0"/>
          <w:numId w:val="0"/>
        </w:numPr>
        <w:suppressLineNumbers w:val="0"/>
        <w:jc w:val="left"/>
        <w:rPr>
          <w:rFonts w:hint="eastAsia" w:ascii="黑体" w:hAnsi="黑体" w:eastAsia="黑体" w:cs="黑体"/>
          <w:b w:val="0"/>
          <w:bCs w:val="0"/>
          <w:color w:val="000000"/>
          <w:kern w:val="0"/>
          <w:sz w:val="32"/>
          <w:szCs w:val="32"/>
          <w:lang w:val="en-US" w:eastAsia="zh-CN" w:bidi="ar"/>
        </w:rPr>
      </w:pPr>
    </w:p>
    <w:p>
      <w:pPr>
        <w:numPr>
          <w:ilvl w:val="0"/>
          <w:numId w:val="0"/>
        </w:numPr>
        <w:rPr>
          <w:rFonts w:hint="default"/>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䅂䍄䕅⮺?">
    <w:altName w:val="Segoe Print"/>
    <w:panose1 w:val="00000000000000000000"/>
    <w:charset w:val="00"/>
    <w:family w:val="auto"/>
    <w:pitch w:val="default"/>
    <w:sig w:usb0="00000000" w:usb1="00000000" w:usb2="00000000" w:usb3="00000000" w:csb0="00000000" w:csb1="00000000"/>
  </w:font>
  <w:font w:name="䅂䍄䕅⮷싋츀">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8DB13"/>
    <w:multiLevelType w:val="singleLevel"/>
    <w:tmpl w:val="8178DB13"/>
    <w:lvl w:ilvl="0" w:tentative="0">
      <w:start w:val="1"/>
      <w:numFmt w:val="chineseCounting"/>
      <w:suff w:val="nothing"/>
      <w:lvlText w:val="%1、"/>
      <w:lvlJc w:val="left"/>
      <w:rPr>
        <w:rFonts w:hint="eastAsia"/>
      </w:rPr>
    </w:lvl>
  </w:abstractNum>
  <w:abstractNum w:abstractNumId="1">
    <w:nsid w:val="717A7DA1"/>
    <w:multiLevelType w:val="singleLevel"/>
    <w:tmpl w:val="717A7DA1"/>
    <w:lvl w:ilvl="0" w:tentative="0">
      <w:start w:val="2"/>
      <w:numFmt w:val="chineseCounting"/>
      <w:suff w:val="nothing"/>
      <w:lvlText w:val="（%1）"/>
      <w:lvlJc w:val="left"/>
      <w:rPr>
        <w:rFonts w:hint="eastAsia"/>
      </w:rPr>
    </w:lvl>
  </w:abstractNum>
  <w:abstractNum w:abstractNumId="2">
    <w:nsid w:val="7AE69A21"/>
    <w:multiLevelType w:val="singleLevel"/>
    <w:tmpl w:val="7AE69A21"/>
    <w:lvl w:ilvl="0" w:tentative="0">
      <w:start w:val="9"/>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NjZhZTIwNWU5MmZlNWRmYTYxNjExNWNjZmM4ODEifQ=="/>
  </w:docVars>
  <w:rsids>
    <w:rsidRoot w:val="52236FB5"/>
    <w:rsid w:val="00C17B96"/>
    <w:rsid w:val="020016E9"/>
    <w:rsid w:val="030C06C7"/>
    <w:rsid w:val="03111233"/>
    <w:rsid w:val="041651F4"/>
    <w:rsid w:val="043F474B"/>
    <w:rsid w:val="04C3537C"/>
    <w:rsid w:val="05003293"/>
    <w:rsid w:val="05597A8E"/>
    <w:rsid w:val="05720B50"/>
    <w:rsid w:val="072D2F81"/>
    <w:rsid w:val="08103D20"/>
    <w:rsid w:val="0842480A"/>
    <w:rsid w:val="09465165"/>
    <w:rsid w:val="0AC0410C"/>
    <w:rsid w:val="0B1129A9"/>
    <w:rsid w:val="0B133264"/>
    <w:rsid w:val="0B8D0F28"/>
    <w:rsid w:val="0CD034CC"/>
    <w:rsid w:val="0D1A5D55"/>
    <w:rsid w:val="0EA004DC"/>
    <w:rsid w:val="10831E63"/>
    <w:rsid w:val="11967974"/>
    <w:rsid w:val="12107727"/>
    <w:rsid w:val="12AE2D96"/>
    <w:rsid w:val="147D6BCA"/>
    <w:rsid w:val="1514752E"/>
    <w:rsid w:val="15410735"/>
    <w:rsid w:val="19355CC5"/>
    <w:rsid w:val="19630A84"/>
    <w:rsid w:val="199C5D44"/>
    <w:rsid w:val="1ABA2925"/>
    <w:rsid w:val="1AD321D1"/>
    <w:rsid w:val="1C454471"/>
    <w:rsid w:val="1D50131F"/>
    <w:rsid w:val="1DE81558"/>
    <w:rsid w:val="1E7D7EF2"/>
    <w:rsid w:val="21A70722"/>
    <w:rsid w:val="21BB3C02"/>
    <w:rsid w:val="21CC3D6A"/>
    <w:rsid w:val="22665141"/>
    <w:rsid w:val="24284DA4"/>
    <w:rsid w:val="242B2E90"/>
    <w:rsid w:val="2556149D"/>
    <w:rsid w:val="260E1D77"/>
    <w:rsid w:val="26440A99"/>
    <w:rsid w:val="26C50688"/>
    <w:rsid w:val="27887423"/>
    <w:rsid w:val="289742A6"/>
    <w:rsid w:val="29514455"/>
    <w:rsid w:val="297D5811"/>
    <w:rsid w:val="29883BEF"/>
    <w:rsid w:val="2A364537"/>
    <w:rsid w:val="2A3A313B"/>
    <w:rsid w:val="2A531B5C"/>
    <w:rsid w:val="2A5561C7"/>
    <w:rsid w:val="2B053749"/>
    <w:rsid w:val="2B1020EE"/>
    <w:rsid w:val="2BC2788C"/>
    <w:rsid w:val="2BC453B2"/>
    <w:rsid w:val="2BD31A99"/>
    <w:rsid w:val="2C0C0B07"/>
    <w:rsid w:val="2D393B7E"/>
    <w:rsid w:val="2DD6548B"/>
    <w:rsid w:val="2F320885"/>
    <w:rsid w:val="2F7E7923"/>
    <w:rsid w:val="2FCF026D"/>
    <w:rsid w:val="306B6B40"/>
    <w:rsid w:val="30B8125D"/>
    <w:rsid w:val="3200110E"/>
    <w:rsid w:val="32E60304"/>
    <w:rsid w:val="34C12DD7"/>
    <w:rsid w:val="35B27FF0"/>
    <w:rsid w:val="35B53FBD"/>
    <w:rsid w:val="35E129A9"/>
    <w:rsid w:val="369E0EF6"/>
    <w:rsid w:val="36B80075"/>
    <w:rsid w:val="374750E9"/>
    <w:rsid w:val="3DE32A62"/>
    <w:rsid w:val="3ED6747E"/>
    <w:rsid w:val="41436921"/>
    <w:rsid w:val="42075BA1"/>
    <w:rsid w:val="44E67CEF"/>
    <w:rsid w:val="450B3BFA"/>
    <w:rsid w:val="45703A5D"/>
    <w:rsid w:val="45CD7101"/>
    <w:rsid w:val="46250CEB"/>
    <w:rsid w:val="46286C9D"/>
    <w:rsid w:val="46F95198"/>
    <w:rsid w:val="478F0B12"/>
    <w:rsid w:val="47C02A7A"/>
    <w:rsid w:val="499441BE"/>
    <w:rsid w:val="49E95F50"/>
    <w:rsid w:val="4BE72F58"/>
    <w:rsid w:val="4CEE0089"/>
    <w:rsid w:val="4D40640B"/>
    <w:rsid w:val="4E8C7B5A"/>
    <w:rsid w:val="50595DB0"/>
    <w:rsid w:val="509947B0"/>
    <w:rsid w:val="50AD3DB7"/>
    <w:rsid w:val="51532BB1"/>
    <w:rsid w:val="52236FB5"/>
    <w:rsid w:val="53723EDF"/>
    <w:rsid w:val="53FA7313"/>
    <w:rsid w:val="54065CB8"/>
    <w:rsid w:val="555B79CC"/>
    <w:rsid w:val="559B0682"/>
    <w:rsid w:val="56837A94"/>
    <w:rsid w:val="56A65531"/>
    <w:rsid w:val="57A37CC2"/>
    <w:rsid w:val="58DD0FB2"/>
    <w:rsid w:val="5B381344"/>
    <w:rsid w:val="5C9A11AC"/>
    <w:rsid w:val="5D6458D1"/>
    <w:rsid w:val="605B738C"/>
    <w:rsid w:val="60624BBE"/>
    <w:rsid w:val="616D381B"/>
    <w:rsid w:val="61952D71"/>
    <w:rsid w:val="621506D9"/>
    <w:rsid w:val="621F43E9"/>
    <w:rsid w:val="62344338"/>
    <w:rsid w:val="6286459E"/>
    <w:rsid w:val="63042F96"/>
    <w:rsid w:val="63954B16"/>
    <w:rsid w:val="63D00062"/>
    <w:rsid w:val="63D45C95"/>
    <w:rsid w:val="63D731CD"/>
    <w:rsid w:val="643C1D4A"/>
    <w:rsid w:val="645760BC"/>
    <w:rsid w:val="64590086"/>
    <w:rsid w:val="647E77BF"/>
    <w:rsid w:val="65A13A93"/>
    <w:rsid w:val="65B512EC"/>
    <w:rsid w:val="65E25CF5"/>
    <w:rsid w:val="66801007"/>
    <w:rsid w:val="67317098"/>
    <w:rsid w:val="68D67EF7"/>
    <w:rsid w:val="69735746"/>
    <w:rsid w:val="69B813AB"/>
    <w:rsid w:val="6A771266"/>
    <w:rsid w:val="6ABE6E95"/>
    <w:rsid w:val="6B1F49D4"/>
    <w:rsid w:val="6CAE4CE7"/>
    <w:rsid w:val="6D001BFD"/>
    <w:rsid w:val="6D6F30FB"/>
    <w:rsid w:val="6D7B2E1B"/>
    <w:rsid w:val="6D91263F"/>
    <w:rsid w:val="6DD90EA4"/>
    <w:rsid w:val="6DE45D16"/>
    <w:rsid w:val="6E4C47B8"/>
    <w:rsid w:val="6F413BF1"/>
    <w:rsid w:val="703A2B0E"/>
    <w:rsid w:val="707A0AE9"/>
    <w:rsid w:val="70C920F0"/>
    <w:rsid w:val="70E46F2A"/>
    <w:rsid w:val="70F27898"/>
    <w:rsid w:val="731955B0"/>
    <w:rsid w:val="73DC213A"/>
    <w:rsid w:val="7452064E"/>
    <w:rsid w:val="75796C4C"/>
    <w:rsid w:val="7641097A"/>
    <w:rsid w:val="76BD44A5"/>
    <w:rsid w:val="77F250B7"/>
    <w:rsid w:val="79C913B2"/>
    <w:rsid w:val="7B670E83"/>
    <w:rsid w:val="7B9322C3"/>
    <w:rsid w:val="7BE20509"/>
    <w:rsid w:val="7C492337"/>
    <w:rsid w:val="7CAF2AE1"/>
    <w:rsid w:val="7CBC6FAC"/>
    <w:rsid w:val="7E9A6B5E"/>
    <w:rsid w:val="7F076C05"/>
    <w:rsid w:val="7FA12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22"/>
    <w:rPr>
      <w:b/>
      <w:bCs/>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7248</Words>
  <Characters>7336</Characters>
  <Lines>0</Lines>
  <Paragraphs>0</Paragraphs>
  <TotalTime>8</TotalTime>
  <ScaleCrop>false</ScaleCrop>
  <LinksUpToDate>false</LinksUpToDate>
  <CharactersWithSpaces>7513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2019-12-12T12:44:00Z</dcterms:created>
  <dc:creator>咕咕</dc:creator>
  <cp:lastModifiedBy>繁星</cp:lastModifiedBy>
  <dcterms:modified xsi:type="dcterms:W3CDTF">2023-05-12T01:21:23Z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43CCE5300E384A6AA7B1E920D4D7E1D0_13</vt:lpwstr>
  </property>
</Properties>
</file>