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DCF69">
      <w:pPr>
        <w:pStyle w:val="2"/>
        <w:jc w:val="left"/>
        <w:rPr>
          <w:rFonts w:ascii="方正公文小标宋" w:eastAsia="方正公文小标宋"/>
          <w:b w:val="0"/>
          <w:sz w:val="84"/>
          <w:szCs w:val="84"/>
          <w:lang w:eastAsia="zh-CN"/>
        </w:rPr>
      </w:pPr>
    </w:p>
    <w:p w14:paraId="4A7C0BA8">
      <w:pPr>
        <w:pStyle w:val="2"/>
        <w:jc w:val="left"/>
        <w:rPr>
          <w:rFonts w:ascii="方正公文小标宋" w:eastAsia="方正公文小标宋"/>
          <w:b w:val="0"/>
          <w:sz w:val="84"/>
          <w:szCs w:val="84"/>
          <w:lang w:eastAsia="zh-CN"/>
        </w:rPr>
      </w:pPr>
    </w:p>
    <w:p w14:paraId="44C33DC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辽宁省丹东市凤城市红旗镇人民</w:t>
      </w:r>
    </w:p>
    <w:p w14:paraId="6CF3ACA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BD126D6">
      <w:pPr>
        <w:rPr>
          <w:rFonts w:ascii="方正公文小标宋" w:eastAsia="方正公文小标宋"/>
          <w:sz w:val="84"/>
          <w:szCs w:val="84"/>
          <w:lang w:eastAsia="zh-CN"/>
        </w:rPr>
      </w:pPr>
    </w:p>
    <w:p w14:paraId="31929D66">
      <w:pPr>
        <w:rPr>
          <w:rFonts w:ascii="方正公文小标宋" w:eastAsia="方正公文小标宋"/>
          <w:sz w:val="84"/>
          <w:szCs w:val="84"/>
          <w:lang w:eastAsia="zh-CN"/>
        </w:rPr>
      </w:pPr>
    </w:p>
    <w:p w14:paraId="1483456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27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4A3AC7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D9AFD0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_Toc27488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_Toc27488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98F638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_Toc7618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_Toc7618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DD3DE8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_Toc17709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_Toc17709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0CC8D42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F3EDD5B">
      <w:pPr>
        <w:rPr>
          <w:lang w:eastAsia="zh-CN"/>
        </w:rPr>
      </w:pPr>
    </w:p>
    <w:p w14:paraId="25B8E6C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A3D5C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748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41202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AEA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9C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7424D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1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04C24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4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B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0F2B7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E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5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420B1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D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1E175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251F8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1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54B6B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5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5A60E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C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30577F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3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23558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17BE3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2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69E02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E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76EE7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3A871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9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B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63285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A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41C99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025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24199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5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62DEB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0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D4FA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D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3E03B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ADAF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E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7A3CA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6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05C2C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E069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1185AD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A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652DC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3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897DE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5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04377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37EBF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1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梳理商贸流通经营主体基本情况，建立并动态管理企业培育库，鼓励“个转企、小升规”，培育规模市场主体，依托“丹东绿”大理石丰富矿产资源，推动大理石深加工产业发展，发掘新的经济增长点</w:t>
            </w:r>
          </w:p>
        </w:tc>
      </w:tr>
      <w:tr w14:paraId="61CC7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357C5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03594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55CC16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7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77DFE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0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293A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D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55291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3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28C84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1B940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F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704D6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A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2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6998B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3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159DE3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69B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10C9E6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48EBC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9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44D3F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2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713BE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3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9AEB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F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F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0DF31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A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30BFA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D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3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3CACD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1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5AB2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E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14E7D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F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15FF9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6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9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25F4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22DA9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79486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15E52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5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4E76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2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7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4E54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0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46FFA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7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3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75A26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9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083114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3FC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54890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7EDBDD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1D78F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E521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反邪教警示宣传教育和信息搜集，开展邪教、“精神控制”有害培训、会道门、对社会有危害的气功组织及境外宗教渗透和非法宗教活动等人员底数、风险隐患的调查摸排和汇总上报工作，加强安全防范，强化业务培训，落实重点人员、重点部位、敏感节点包保稳控责任和安全防范措施，并做好教育转化、解脱及脱离工作</w:t>
            </w:r>
          </w:p>
        </w:tc>
      </w:tr>
      <w:tr w14:paraId="5A7B4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A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76243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48589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55E8395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C6F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6ED41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073E4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3073D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C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166F8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3A312E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BAEBB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60AE42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D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60D4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3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1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指导和促进农业种养殖业生产，优化种植业布局，依托新力村“辽宁省一村一品示范村”洋菇娘产业，推动全镇特色产业发展，做好农情信息统计，加强农业自然灾害监测防控，做好农作物病虫害防治工作</w:t>
            </w:r>
          </w:p>
        </w:tc>
      </w:tr>
      <w:tr w14:paraId="56614D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2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7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038A3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D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8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0EBC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0DBEF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4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19F1F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60932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1ACC1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A519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19660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6753E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548FE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4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0399C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10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9582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6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A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5814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F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0A39D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E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0E415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8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7CB43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65EAA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0CB88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0DFA0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5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0A373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19F9D2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E3E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7490C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0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5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27735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717F3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B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26F12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8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25E9AF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6BE7B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A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4E7B7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7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2A46D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1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45182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64BE88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6F01E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0A8EB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47FF7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D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8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56AC7C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88E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02D21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280DE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7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04AE0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8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3CDEC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6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5FAE92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EF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26E37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B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C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6ABF9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2FCE15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FFA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50830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F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7C45D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D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735B1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0AF11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07C74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E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C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2C1F3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3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69F31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41AC6D4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761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E9928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BC5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FC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2F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9A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E8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732A9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B1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7BB95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B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297E7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C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60D44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3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2EF35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B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4E69B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9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6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6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83E58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F8E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0E24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0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4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A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39ADF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D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03932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E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B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2C8F99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1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C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A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D95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4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6B1244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6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A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73252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F5B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170C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A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435C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E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A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42235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0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23FF2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63A19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A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C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7F36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E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2A593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7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C1C1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6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6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6B2A5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A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608B08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B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4FDD6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A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2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401AC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5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7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338E6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C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F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5C866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B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6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0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0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37E16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9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09DCD7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245EE2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01B236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5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79EE4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3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D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B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06FD1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1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6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0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1030E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6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B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0B0EA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3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0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1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280F9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E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528FD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D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2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17B97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7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E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4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78BC9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B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1BC5F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51C8D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B1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12E46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E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7F4AF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0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8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2F6D1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E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1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6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3F9A6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8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9F750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A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E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3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322FA1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D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E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D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542FD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759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32B16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7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4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9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13054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3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730753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1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2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018EF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A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D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507F7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5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6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F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60085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2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C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C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3BB362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3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4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45CE7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1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2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3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2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4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74572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2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7CC6F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C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7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2EF5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59FEB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4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4B1BC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2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B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3B975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0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1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8B9F8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2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8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3D776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B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A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23B32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A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6A8DD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6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9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35FA9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2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4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020EE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5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8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7B4A0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0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8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04EBC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E5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3C207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8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0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A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610C9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0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6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4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9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40301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B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1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64223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E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5B6B7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7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01E4E0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A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A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28F99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5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7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4BE68D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9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A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27CA8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8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5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B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41B7E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4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5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7241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6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F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7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46F680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475B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E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D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D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55775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7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255CF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1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C5F6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7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E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5164F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2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4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5FB0E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1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7B5E81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63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390BD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F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9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D4105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2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D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2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2016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A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8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54BF8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B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1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D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78D2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3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75F7F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1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9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381ACD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7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53AB90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7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3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D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60CD46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97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7072F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2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A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7F1A8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3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2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3E89CC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D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2931B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C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8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3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7642C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5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2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6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5DFA4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6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6CB02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D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0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B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3FBE4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2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7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58BBE4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8A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8886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5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E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79D7D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7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6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06986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0487E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1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BFE4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3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B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6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1B404C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A26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7034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A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9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3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02FEB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0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A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139B6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7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7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41753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A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C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A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1BAC2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0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C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6DCA2F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BC936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D4A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6329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7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F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F1E3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1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1B18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B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F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1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8EE2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AA08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6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B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5AAFC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2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6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A5535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0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6B919E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C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7E4D7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3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9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D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DBA5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8E6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0C4CA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A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0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D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4125E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5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A933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7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1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C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4CB140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B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4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DDF31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D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7D73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F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5F67C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9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6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B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3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3EAFE2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16C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10AD1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5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792BF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F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0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1B69C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790E1F6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70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47AB7B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93B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F02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A59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F12E4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364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484BE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2C860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9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2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0E39A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E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9927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D3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0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BBA3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D8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8147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1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077C0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D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7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0BF03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2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7E3F3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5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6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530F04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37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7EAE5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2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24E04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2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13931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0C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4854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0BED9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9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A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1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3FC99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6BB52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D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9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3B800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C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5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5A26CF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E5D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768EC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D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9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1F368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5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5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B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12932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F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2FC4C0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644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6D320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1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37346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22F1B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1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1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2C7F3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2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0E63E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7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7BA50D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AD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5A23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1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142ABF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F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44002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6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3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7CC19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E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4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5278D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8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F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285EC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4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7BC74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E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48F405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6A4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0E5A3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343E00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6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D9099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1FB29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B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2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5F98E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5A3759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4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3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2846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A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8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4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6618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E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48C1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0A65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D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3D7A51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02F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七、应急管理及消防（14项）</w:t>
            </w:r>
          </w:p>
        </w:tc>
      </w:tr>
      <w:tr w14:paraId="3EB75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E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3C0C04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F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77DE6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2A9B2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2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6F9DBD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B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33D34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B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8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0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27DF3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F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5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1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6C9EDA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6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322E1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D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B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21B8D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E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2FECD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3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C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5DE25B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F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05DA7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1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4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r w14:paraId="71C1E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1.对小型水库挡水、输水、泄水设施安全运行及隐患排查进行监督检查；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2.对小型水库汛期防水设施、水库水位、库管员报讯等防汛工作进行监督检查；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3.对发现问题下达整改通知，指导制定整改方案并限期落实；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4.核查整改效果，更新安全档案，总结经验优化后续监管措施。</w:t>
            </w:r>
          </w:p>
        </w:tc>
      </w:tr>
    </w:tbl>
    <w:p w14:paraId="79ABA4D1">
      <w:pPr>
        <w:pStyle w:val="3"/>
        <w:spacing w:before="0" w:after="0" w:line="240" w:lineRule="auto"/>
        <w:jc w:val="center"/>
        <w:rPr>
          <w:rFonts w:ascii="Times New Roman" w:hAnsi="Times New Roman" w:eastAsia="方正小标宋_GBK" w:cs="Times New Roman"/>
          <w:color w:val="auto"/>
          <w:spacing w:val="7"/>
          <w:lang w:eastAsia="zh-CN"/>
        </w:rPr>
      </w:pPr>
    </w:p>
    <w:p w14:paraId="48E54A8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243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74090F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74090F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5F0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0F6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2025-07-01T10:58:24Z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07FCA49C26D3441B9BBB2515EB350800_12</vt:lpwstr>
  </property>
</Properties>
</file>