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5C5" w:rsidRPr="006B5E5D" w:rsidRDefault="00702EF7">
      <w:pPr>
        <w:snapToGrid w:val="0"/>
        <w:jc w:val="center"/>
        <w:outlineLvl w:val="0"/>
        <w:rPr>
          <w:rFonts w:ascii="方正小标宋简体" w:eastAsia="方正小标宋简体" w:hAnsi="Times New Roman" w:cs="Times New Roman"/>
          <w:sz w:val="44"/>
          <w:szCs w:val="44"/>
        </w:rPr>
      </w:pPr>
      <w:bookmarkStart w:id="0" w:name="_Toc16865"/>
      <w:bookmarkStart w:id="1" w:name="_Toc18037"/>
      <w:bookmarkStart w:id="2" w:name="_Toc31943"/>
      <w:bookmarkStart w:id="3" w:name="_Toc14178"/>
      <w:bookmarkStart w:id="4" w:name="_Toc32043"/>
      <w:bookmarkStart w:id="5" w:name="_Toc11022"/>
      <w:bookmarkStart w:id="6" w:name="_Toc30667"/>
      <w:bookmarkStart w:id="7" w:name="_Toc13889"/>
      <w:bookmarkStart w:id="8" w:name="_Toc175"/>
      <w:bookmarkStart w:id="9" w:name="_Toc2060"/>
      <w:bookmarkStart w:id="10" w:name="_Toc21324"/>
      <w:bookmarkStart w:id="11" w:name="_Toc4110"/>
      <w:bookmarkStart w:id="12" w:name="_Toc8518"/>
      <w:bookmarkStart w:id="13" w:name="_Toc7357"/>
      <w:bookmarkStart w:id="14" w:name="_Toc10366"/>
      <w:bookmarkStart w:id="15" w:name="_Toc15074"/>
      <w:bookmarkStart w:id="16" w:name="_Toc8452"/>
      <w:bookmarkStart w:id="17" w:name="_Toc1269"/>
      <w:bookmarkStart w:id="18" w:name="_Toc11"/>
      <w:bookmarkStart w:id="19" w:name="_Toc13508"/>
      <w:bookmarkStart w:id="20" w:name="_Toc900"/>
      <w:r w:rsidRPr="006B5E5D">
        <w:rPr>
          <w:rFonts w:ascii="方正小标宋简体" w:eastAsia="方正小标宋简体" w:hAnsi="Times New Roman" w:cs="Times New Roman" w:hint="eastAsia"/>
          <w:sz w:val="44"/>
          <w:szCs w:val="44"/>
        </w:rPr>
        <w:t>丹东市国土空间总体规划</w:t>
      </w:r>
      <w:bookmarkEnd w:id="0"/>
      <w:bookmarkEnd w:id="1"/>
      <w:bookmarkEnd w:id="2"/>
      <w:bookmarkEnd w:id="3"/>
      <w:bookmarkEnd w:id="4"/>
      <w:bookmarkEnd w:id="5"/>
      <w:bookmarkEnd w:id="6"/>
      <w:bookmarkEnd w:id="7"/>
      <w:bookmarkEnd w:id="8"/>
      <w:bookmarkEnd w:id="9"/>
      <w:bookmarkEnd w:id="10"/>
      <w:bookmarkEnd w:id="11"/>
    </w:p>
    <w:p w:rsidR="00A765C5" w:rsidRPr="006B5E5D" w:rsidRDefault="00702EF7">
      <w:pPr>
        <w:snapToGrid w:val="0"/>
        <w:jc w:val="center"/>
        <w:rPr>
          <w:rFonts w:ascii="方正小标宋简体" w:eastAsia="方正小标宋简体" w:hAnsi="Times New Roman" w:cs="Times New Roman"/>
          <w:sz w:val="44"/>
          <w:szCs w:val="44"/>
        </w:rPr>
      </w:pPr>
      <w:r w:rsidRPr="006B5E5D">
        <w:rPr>
          <w:rFonts w:ascii="方正小标宋简体" w:eastAsia="方正小标宋简体" w:hAnsi="Times New Roman" w:cs="Times New Roman" w:hint="eastAsia"/>
          <w:sz w:val="44"/>
          <w:szCs w:val="44"/>
        </w:rPr>
        <w:t>（2021-2035年）</w:t>
      </w:r>
    </w:p>
    <w:p w:rsidR="00A765C5" w:rsidRDefault="00A765C5">
      <w:pPr>
        <w:pStyle w:val="a4"/>
        <w:rPr>
          <w:rFonts w:ascii="Times New Roman" w:eastAsia="方正小标宋_GBK" w:hAnsi="Times New Roman" w:cs="Times New Roman"/>
          <w:sz w:val="40"/>
          <w:szCs w:val="40"/>
        </w:rPr>
      </w:pPr>
    </w:p>
    <w:p w:rsidR="00A765C5" w:rsidRDefault="00702EF7">
      <w:pPr>
        <w:snapToGrid w:val="0"/>
        <w:spacing w:line="312" w:lineRule="auto"/>
        <w:jc w:val="center"/>
        <w:rPr>
          <w:rFonts w:ascii="Times New Roman" w:eastAsia="方正小标宋_GBK" w:hAnsi="Times New Roman" w:cs="Times New Roman"/>
          <w:sz w:val="40"/>
          <w:szCs w:val="40"/>
        </w:rPr>
      </w:pPr>
      <w:r>
        <w:rPr>
          <w:rFonts w:ascii="Times New Roman" w:eastAsia="方正小标宋_GBK" w:hAnsi="Times New Roman" w:cs="Times New Roman" w:hint="eastAsia"/>
          <w:sz w:val="40"/>
          <w:szCs w:val="40"/>
        </w:rPr>
        <w:t>目</w:t>
      </w:r>
      <w:r>
        <w:rPr>
          <w:rFonts w:ascii="Times New Roman" w:eastAsia="方正小标宋_GBK" w:hAnsi="Times New Roman" w:cs="Times New Roman"/>
          <w:sz w:val="40"/>
          <w:szCs w:val="40"/>
        </w:rPr>
        <w:t xml:space="preserve">  </w:t>
      </w:r>
      <w:r>
        <w:rPr>
          <w:rFonts w:ascii="Times New Roman" w:eastAsia="方正小标宋_GBK" w:hAnsi="Times New Roman" w:cs="Times New Roman" w:hint="eastAsia"/>
          <w:sz w:val="40"/>
          <w:szCs w:val="40"/>
        </w:rPr>
        <w:t>录</w:t>
      </w:r>
      <w:bookmarkEnd w:id="12"/>
      <w:bookmarkEnd w:id="13"/>
      <w:bookmarkEnd w:id="14"/>
      <w:bookmarkEnd w:id="15"/>
      <w:bookmarkEnd w:id="16"/>
      <w:bookmarkEnd w:id="17"/>
      <w:bookmarkEnd w:id="18"/>
      <w:bookmarkEnd w:id="19"/>
      <w:bookmarkEnd w:id="20"/>
    </w:p>
    <w:p w:rsidR="00A765C5" w:rsidRDefault="00702EF7">
      <w:pPr>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fldChar w:fldCharType="begin"/>
      </w:r>
      <w:r>
        <w:rPr>
          <w:rFonts w:ascii="Times New Roman" w:eastAsia="仿宋_GB2312" w:hAnsi="Times New Roman" w:cs="Times New Roman"/>
          <w:sz w:val="32"/>
          <w:szCs w:val="32"/>
        </w:rPr>
        <w:instrText xml:space="preserve">TOC \o "1-2" \h \u </w:instrText>
      </w:r>
      <w:r>
        <w:rPr>
          <w:rFonts w:ascii="Times New Roman" w:eastAsia="仿宋_GB2312" w:hAnsi="Times New Roman" w:cs="Times New Roman"/>
          <w:sz w:val="32"/>
          <w:szCs w:val="32"/>
        </w:rPr>
        <w:fldChar w:fldCharType="separate"/>
      </w:r>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9630" w:history="1">
        <w:r w:rsidR="00702EF7">
          <w:rPr>
            <w:rFonts w:ascii="Times New Roman" w:eastAsia="黑体" w:hAnsi="Times New Roman" w:cs="Times New Roman" w:hint="eastAsia"/>
            <w:sz w:val="32"/>
            <w:szCs w:val="144"/>
          </w:rPr>
          <w:t>前</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言</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32130" w:history="1">
        <w:r w:rsidR="00702EF7">
          <w:rPr>
            <w:rFonts w:ascii="Times New Roman" w:eastAsia="黑体" w:hAnsi="Times New Roman" w:cs="Times New Roman" w:hint="eastAsia"/>
            <w:sz w:val="32"/>
            <w:szCs w:val="144"/>
          </w:rPr>
          <w:t>第一章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总则</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18585" w:history="1">
        <w:r w:rsidR="00702EF7">
          <w:rPr>
            <w:rFonts w:ascii="Times New Roman" w:eastAsia="黑体" w:hAnsi="Times New Roman" w:cs="Times New Roman" w:hint="eastAsia"/>
            <w:sz w:val="32"/>
            <w:szCs w:val="144"/>
          </w:rPr>
          <w:t>第二章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现状基础、存在问题和风险挑战</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5991"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现状特征</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6079"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主要问题</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3043"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风险挑战</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3675"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机遇使命</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28122" w:history="1">
        <w:r w:rsidR="00702EF7">
          <w:rPr>
            <w:rFonts w:ascii="Times New Roman" w:eastAsia="黑体" w:hAnsi="Times New Roman" w:cs="Times New Roman" w:hint="eastAsia"/>
            <w:sz w:val="32"/>
            <w:szCs w:val="144"/>
          </w:rPr>
          <w:t>第三章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城市性质和目标战略</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0334"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城市性质和核心功能定位</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2895"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目标愿景</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2113"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国土空间开发保护战略</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18417" w:history="1">
        <w:r w:rsidR="00702EF7">
          <w:rPr>
            <w:rFonts w:ascii="Times New Roman" w:eastAsia="黑体" w:hAnsi="Times New Roman" w:cs="Times New Roman" w:hint="eastAsia"/>
            <w:sz w:val="32"/>
            <w:szCs w:val="144"/>
          </w:rPr>
          <w:t>第四章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统筹划定</w:t>
        </w:r>
        <w:r w:rsidR="00702EF7">
          <w:rPr>
            <w:rFonts w:ascii="Times New Roman" w:eastAsia="黑体" w:hAnsi="Times New Roman" w:cs="Times New Roman" w:hint="eastAsia"/>
            <w:sz w:val="32"/>
            <w:szCs w:val="144"/>
          </w:rPr>
          <w:t>"</w:t>
        </w:r>
        <w:r w:rsidR="00702EF7">
          <w:rPr>
            <w:rFonts w:ascii="Times New Roman" w:eastAsia="黑体" w:hAnsi="Times New Roman" w:cs="Times New Roman" w:hint="eastAsia"/>
            <w:sz w:val="32"/>
            <w:szCs w:val="144"/>
          </w:rPr>
          <w:t>三区三线</w:t>
        </w:r>
        <w:r w:rsidR="00702EF7">
          <w:rPr>
            <w:rFonts w:ascii="Times New Roman" w:eastAsia="黑体" w:hAnsi="Times New Roman" w:cs="Times New Roman" w:hint="eastAsia"/>
            <w:sz w:val="32"/>
            <w:szCs w:val="144"/>
          </w:rPr>
          <w:t>"</w:t>
        </w:r>
        <w:r w:rsidR="00702EF7">
          <w:rPr>
            <w:rFonts w:ascii="Times New Roman" w:eastAsia="黑体" w:hAnsi="Times New Roman" w:cs="Times New Roman" w:hint="eastAsia"/>
            <w:sz w:val="32"/>
            <w:szCs w:val="144"/>
          </w:rPr>
          <w:t>，优化国土空间开发保护格局</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045"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三条控制线划定与管控</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0642"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强化主体功能定位</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105"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优化国土空间总体格局</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3205"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统筹规划分区</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13934" w:history="1">
        <w:r w:rsidR="00702EF7">
          <w:rPr>
            <w:rFonts w:ascii="Times New Roman" w:eastAsia="黑体" w:hAnsi="Times New Roman" w:cs="Times New Roman" w:hint="eastAsia"/>
            <w:sz w:val="32"/>
            <w:szCs w:val="144"/>
          </w:rPr>
          <w:t>第五章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严格管护农业空间，支持乡村振兴发展</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0296"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耕地数量保护和质量提升</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068"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积极拓展农产品生产空间</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9894"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统筹安排乡村振兴空间</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7728"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有效推动农村土地综合整治</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31560" w:history="1">
        <w:r w:rsidR="00702EF7">
          <w:rPr>
            <w:rFonts w:ascii="Times New Roman" w:eastAsia="黑体" w:hAnsi="Times New Roman" w:cs="Times New Roman" w:hint="eastAsia"/>
            <w:sz w:val="32"/>
            <w:szCs w:val="144"/>
          </w:rPr>
          <w:t>第六章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保护修复生态空间，促进绿色低碳发展</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1862"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加强自然保护地体系管控</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6438"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强化水资源保护和配置</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8532"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提升生态资源保护利用水平</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1508"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统筹矿产资源保护与利用</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0128" w:history="1">
        <w:r w:rsidR="00702EF7">
          <w:rPr>
            <w:rFonts w:ascii="Times New Roman" w:eastAsia="仿宋_GB2312" w:hAnsi="Times New Roman" w:cs="Times New Roman" w:hint="eastAsia"/>
            <w:sz w:val="32"/>
            <w:szCs w:val="32"/>
          </w:rPr>
          <w:t>第五节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实现绿色低碳发展</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846" w:history="1">
        <w:r w:rsidR="00702EF7">
          <w:rPr>
            <w:rFonts w:ascii="Times New Roman" w:eastAsia="仿宋_GB2312" w:hAnsi="Times New Roman" w:cs="Times New Roman" w:hint="eastAsia"/>
            <w:sz w:val="32"/>
            <w:szCs w:val="32"/>
          </w:rPr>
          <w:t>第六节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系统推进生态修复</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27757" w:history="1">
        <w:r w:rsidR="00702EF7">
          <w:rPr>
            <w:rFonts w:ascii="Times New Roman" w:eastAsia="黑体" w:hAnsi="Times New Roman" w:cs="Times New Roman" w:hint="eastAsia"/>
            <w:sz w:val="32"/>
            <w:szCs w:val="144"/>
          </w:rPr>
          <w:t>第七章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集聚提升城镇空间，保障产城有序发展</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2882"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优化城镇体系和空间格局</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1139"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强化产业和创新空间保障</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2143"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提升城乡公服能力</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1504"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促进建设用地节约集约</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20864" w:history="1">
        <w:r w:rsidR="00702EF7">
          <w:rPr>
            <w:rFonts w:ascii="Times New Roman" w:eastAsia="黑体" w:hAnsi="Times New Roman" w:cs="Times New Roman" w:hint="eastAsia"/>
            <w:sz w:val="32"/>
            <w:szCs w:val="144"/>
          </w:rPr>
          <w:t>第八章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优化中心城区功能，改善城市生活品质</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8984"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优化空间结构和用地布局</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2038"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保障住房多元化供给</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3139"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完善公服设施布局</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8247"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优化蓝绿空间组织</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5404" w:history="1">
        <w:r w:rsidR="00702EF7">
          <w:rPr>
            <w:rFonts w:ascii="Times New Roman" w:eastAsia="仿宋_GB2312" w:hAnsi="Times New Roman" w:cs="Times New Roman" w:hint="eastAsia"/>
            <w:sz w:val="32"/>
            <w:szCs w:val="32"/>
          </w:rPr>
          <w:t>第五节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强化城市“四线”管控</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8368" w:history="1">
        <w:r w:rsidR="00702EF7">
          <w:rPr>
            <w:rFonts w:ascii="Times New Roman" w:eastAsia="仿宋_GB2312" w:hAnsi="Times New Roman" w:cs="Times New Roman" w:hint="eastAsia"/>
            <w:sz w:val="32"/>
            <w:szCs w:val="32"/>
          </w:rPr>
          <w:t>第六节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加强城市设计引导</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0104" w:history="1">
        <w:r w:rsidR="00702EF7">
          <w:rPr>
            <w:rFonts w:ascii="Times New Roman" w:eastAsia="仿宋_GB2312" w:hAnsi="Times New Roman" w:cs="Times New Roman" w:hint="eastAsia"/>
            <w:sz w:val="32"/>
            <w:szCs w:val="32"/>
          </w:rPr>
          <w:t>第七节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有序推进城市更新</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7431" w:history="1">
        <w:r w:rsidR="00702EF7">
          <w:rPr>
            <w:rFonts w:ascii="Times New Roman" w:eastAsia="仿宋_GB2312" w:hAnsi="Times New Roman" w:cs="Times New Roman" w:hint="eastAsia"/>
            <w:sz w:val="32"/>
            <w:szCs w:val="32"/>
          </w:rPr>
          <w:t>第八节</w:t>
        </w:r>
        <w:r w:rsidR="00702EF7">
          <w:rPr>
            <w:rFonts w:ascii="Times New Roman" w:eastAsia="仿宋_GB2312" w:hAnsi="Times New Roman" w:cs="Times New Roman" w:hint="eastAsia"/>
            <w:sz w:val="32"/>
            <w:szCs w:val="32"/>
          </w:rPr>
          <w:t xml:space="preserve"> </w:t>
        </w:r>
      </w:hyperlink>
      <w:hyperlink w:anchor="_Toc15473" w:history="1">
        <w:r w:rsidR="00702EF7">
          <w:rPr>
            <w:rFonts w:ascii="Times New Roman" w:eastAsia="仿宋_GB2312" w:hAnsi="Times New Roman" w:cs="Times New Roman" w:hint="eastAsia"/>
            <w:sz w:val="32"/>
            <w:szCs w:val="32"/>
          </w:rPr>
          <w:t>推进港产城协调发展</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10700" w:history="1">
        <w:r w:rsidR="00702EF7">
          <w:rPr>
            <w:rFonts w:ascii="Times New Roman" w:eastAsia="黑体" w:hAnsi="Times New Roman" w:cs="Times New Roman" w:hint="eastAsia"/>
            <w:sz w:val="32"/>
            <w:szCs w:val="144"/>
          </w:rPr>
          <w:t>第九章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保护自然历史遗产，彰显国土空间魅力</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6428"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加强历史文化体系保护</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7215"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系统活化利用文化与自然景观</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8095"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强化城乡风貌分区管控</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8409" w:history="1">
        <w:r w:rsidR="00702EF7">
          <w:rPr>
            <w:rFonts w:ascii="Times New Roman" w:eastAsia="黑体" w:hAnsi="Times New Roman" w:cs="Times New Roman" w:hint="eastAsia"/>
            <w:sz w:val="32"/>
            <w:szCs w:val="144"/>
          </w:rPr>
          <w:t>第十章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加强综合交通体系构建</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3898"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构建市域高效便捷的综合交通</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9039"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优化中心城区城市道路交通</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4152" w:history="1">
        <w:r w:rsidR="00702EF7">
          <w:rPr>
            <w:rFonts w:ascii="Times New Roman" w:eastAsia="黑体" w:hAnsi="Times New Roman" w:cs="Times New Roman" w:hint="eastAsia"/>
            <w:sz w:val="32"/>
            <w:szCs w:val="144"/>
          </w:rPr>
          <w:t>第十一章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协调基础设施建设，增强空间安全韧性</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6089"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构建水利基础设施网络</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021"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促进能源设施绿色发展</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7435"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优化市政公用设施布局</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6639"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增强国土空间防灾减灾能力</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10383" w:history="1">
        <w:r w:rsidR="00702EF7">
          <w:rPr>
            <w:rFonts w:ascii="Times New Roman" w:eastAsia="黑体" w:hAnsi="Times New Roman" w:cs="Times New Roman" w:hint="eastAsia"/>
            <w:sz w:val="32"/>
            <w:szCs w:val="144"/>
          </w:rPr>
          <w:t>第十二章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优化海洋开发保护格局，推进向海发展</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6164"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优化海洋空间格局</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0908"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协调发展海洋经济与产业</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30113"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推进陆海统筹</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5696"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加强海洋资源保护利用</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20020" w:history="1">
        <w:r w:rsidR="00702EF7">
          <w:rPr>
            <w:rFonts w:ascii="Times New Roman" w:eastAsia="黑体" w:hAnsi="Times New Roman" w:cs="Times New Roman" w:hint="eastAsia"/>
            <w:sz w:val="32"/>
            <w:szCs w:val="144"/>
          </w:rPr>
          <w:t>第十三章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推动区域协调发展，提升空间开放效能</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4939"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加强对外开放</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7864"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持续深化区域协调</w:t>
        </w:r>
      </w:hyperlink>
    </w:p>
    <w:p w:rsidR="00A765C5" w:rsidRDefault="00894E32">
      <w:pPr>
        <w:pStyle w:val="20"/>
        <w:tabs>
          <w:tab w:val="right" w:leader="dot" w:pos="8250"/>
        </w:tabs>
        <w:adjustRightInd w:val="0"/>
        <w:snapToGrid w:val="0"/>
        <w:spacing w:line="336" w:lineRule="auto"/>
        <w:ind w:leftChars="0" w:left="0"/>
        <w:rPr>
          <w:rFonts w:ascii="Times New Roman" w:eastAsia="黑体" w:hAnsi="Times New Roman" w:cs="Times New Roman"/>
          <w:sz w:val="32"/>
          <w:szCs w:val="144"/>
        </w:rPr>
      </w:pPr>
      <w:hyperlink w:anchor="_Toc28752" w:history="1">
        <w:r w:rsidR="00702EF7">
          <w:rPr>
            <w:rFonts w:ascii="Times New Roman" w:eastAsia="黑体" w:hAnsi="Times New Roman" w:cs="Times New Roman" w:hint="eastAsia"/>
            <w:sz w:val="32"/>
            <w:szCs w:val="144"/>
          </w:rPr>
          <w:t>第十四章</w:t>
        </w:r>
        <w:r w:rsidR="00702EF7">
          <w:rPr>
            <w:rFonts w:ascii="Times New Roman" w:eastAsia="黑体" w:hAnsi="Times New Roman" w:cs="Times New Roman"/>
            <w:sz w:val="32"/>
            <w:szCs w:val="144"/>
          </w:rPr>
          <w:t xml:space="preserve"> </w:t>
        </w:r>
        <w:r w:rsidR="00702EF7">
          <w:rPr>
            <w:rFonts w:ascii="Times New Roman" w:eastAsia="黑体" w:hAnsi="Times New Roman" w:cs="Times New Roman" w:hint="eastAsia"/>
            <w:sz w:val="32"/>
            <w:szCs w:val="144"/>
          </w:rPr>
          <w:t>规划实施保障</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7028" w:history="1">
        <w:r w:rsidR="00702EF7">
          <w:rPr>
            <w:rFonts w:ascii="Times New Roman" w:eastAsia="仿宋_GB2312" w:hAnsi="Times New Roman" w:cs="Times New Roman" w:hint="eastAsia"/>
            <w:sz w:val="32"/>
            <w:szCs w:val="32"/>
          </w:rPr>
          <w:t>第一节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加强党的领导</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5010" w:history="1">
        <w:r w:rsidR="00702EF7">
          <w:rPr>
            <w:rFonts w:ascii="Times New Roman" w:eastAsia="仿宋_GB2312" w:hAnsi="Times New Roman" w:cs="Times New Roman" w:hint="eastAsia"/>
            <w:sz w:val="32"/>
            <w:szCs w:val="32"/>
          </w:rPr>
          <w:t>第二节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完善规划传导</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4428" w:history="1">
        <w:r w:rsidR="00702EF7">
          <w:rPr>
            <w:rFonts w:ascii="Times New Roman" w:eastAsia="仿宋_GB2312" w:hAnsi="Times New Roman" w:cs="Times New Roman" w:hint="eastAsia"/>
            <w:sz w:val="32"/>
            <w:szCs w:val="32"/>
          </w:rPr>
          <w:t>第三节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创新政策保障机制</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27338" w:history="1">
        <w:r w:rsidR="00702EF7">
          <w:rPr>
            <w:rFonts w:ascii="Times New Roman" w:eastAsia="仿宋_GB2312" w:hAnsi="Times New Roman" w:cs="Times New Roman" w:hint="eastAsia"/>
            <w:sz w:val="32"/>
            <w:szCs w:val="32"/>
          </w:rPr>
          <w:t>第四节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加强规划管理</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14696" w:history="1">
        <w:r w:rsidR="00702EF7">
          <w:rPr>
            <w:rFonts w:ascii="Times New Roman" w:eastAsia="仿宋_GB2312" w:hAnsi="Times New Roman" w:cs="Times New Roman" w:hint="eastAsia"/>
            <w:sz w:val="32"/>
            <w:szCs w:val="32"/>
          </w:rPr>
          <w:t>第五节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搭建信息平台</w:t>
        </w:r>
      </w:hyperlink>
    </w:p>
    <w:p w:rsidR="00A765C5" w:rsidRDefault="00894E32" w:rsidP="0054519F">
      <w:pPr>
        <w:pStyle w:val="20"/>
        <w:tabs>
          <w:tab w:val="right" w:leader="dot" w:pos="8250"/>
        </w:tabs>
        <w:adjustRightInd w:val="0"/>
        <w:snapToGrid w:val="0"/>
        <w:spacing w:line="336" w:lineRule="auto"/>
        <w:ind w:leftChars="0" w:left="0" w:firstLineChars="200" w:firstLine="420"/>
        <w:rPr>
          <w:rFonts w:ascii="Times New Roman" w:eastAsia="仿宋_GB2312" w:hAnsi="Times New Roman" w:cs="Times New Roman"/>
          <w:sz w:val="32"/>
          <w:szCs w:val="32"/>
        </w:rPr>
      </w:pPr>
      <w:hyperlink w:anchor="_Toc5753" w:history="1">
        <w:r w:rsidR="00702EF7">
          <w:rPr>
            <w:rFonts w:ascii="Times New Roman" w:eastAsia="仿宋_GB2312" w:hAnsi="Times New Roman" w:cs="Times New Roman" w:hint="eastAsia"/>
            <w:sz w:val="32"/>
            <w:szCs w:val="32"/>
          </w:rPr>
          <w:t>第六节</w:t>
        </w:r>
        <w:r w:rsidR="00702EF7">
          <w:rPr>
            <w:rFonts w:ascii="Times New Roman" w:eastAsia="仿宋_GB2312" w:hAnsi="Times New Roman" w:cs="Times New Roman"/>
            <w:sz w:val="32"/>
            <w:szCs w:val="32"/>
          </w:rPr>
          <w:t xml:space="preserve"> </w:t>
        </w:r>
        <w:r w:rsidR="00702EF7">
          <w:rPr>
            <w:rFonts w:ascii="Times New Roman" w:eastAsia="仿宋_GB2312" w:hAnsi="Times New Roman" w:cs="Times New Roman" w:hint="eastAsia"/>
            <w:sz w:val="32"/>
            <w:szCs w:val="32"/>
          </w:rPr>
          <w:t>落实近期行动计划</w:t>
        </w:r>
      </w:hyperlink>
    </w:p>
    <w:p w:rsidR="00A765C5" w:rsidRDefault="00702EF7">
      <w:r>
        <w:rPr>
          <w:rFonts w:ascii="Times New Roman" w:eastAsia="仿宋_GB2312" w:hAnsi="Times New Roman" w:cs="Times New Roman"/>
          <w:sz w:val="32"/>
          <w:szCs w:val="32"/>
        </w:rPr>
        <w:fldChar w:fldCharType="end"/>
      </w:r>
    </w:p>
    <w:p w:rsidR="00A765C5" w:rsidRPr="006B5E5D" w:rsidRDefault="00702EF7">
      <w:pPr>
        <w:pStyle w:val="20"/>
        <w:tabs>
          <w:tab w:val="right" w:leader="dot" w:pos="8250"/>
        </w:tabs>
        <w:adjustRightInd w:val="0"/>
        <w:snapToGrid w:val="0"/>
        <w:spacing w:before="160" w:after="160" w:line="348" w:lineRule="auto"/>
        <w:ind w:leftChars="0" w:left="0"/>
        <w:jc w:val="center"/>
        <w:rPr>
          <w:rFonts w:ascii="黑体" w:eastAsia="黑体" w:hAnsi="黑体"/>
          <w:sz w:val="32"/>
          <w:szCs w:val="32"/>
        </w:rPr>
      </w:pPr>
      <w:bookmarkStart w:id="21" w:name="_Toc9630"/>
      <w:bookmarkStart w:id="22" w:name="_Toc19083"/>
      <w:bookmarkStart w:id="23" w:name="_Toc31933"/>
      <w:bookmarkStart w:id="24" w:name="_Toc12052"/>
      <w:bookmarkStart w:id="25" w:name="_Toc20979"/>
      <w:bookmarkStart w:id="26" w:name="_Toc22920"/>
      <w:bookmarkStart w:id="27" w:name="_Toc8032"/>
      <w:bookmarkStart w:id="28" w:name="_Toc304"/>
      <w:bookmarkStart w:id="29" w:name="_Toc19305"/>
      <w:bookmarkStart w:id="30" w:name="_Toc30698"/>
      <w:bookmarkStart w:id="31" w:name="_Toc17103"/>
      <w:bookmarkStart w:id="32" w:name="_Toc7460"/>
      <w:bookmarkStart w:id="33" w:name="_Toc745"/>
      <w:bookmarkStart w:id="34" w:name="_Toc14869"/>
      <w:bookmarkStart w:id="35" w:name="_Toc8922"/>
      <w:bookmarkStart w:id="36" w:name="_Toc25683"/>
      <w:bookmarkStart w:id="37" w:name="_Toc23278"/>
      <w:r w:rsidRPr="006B5E5D">
        <w:rPr>
          <w:rFonts w:ascii="黑体" w:eastAsia="黑体" w:hAnsi="黑体" w:cs="Times New Roman" w:hint="eastAsia"/>
          <w:kern w:val="0"/>
          <w:sz w:val="32"/>
          <w:szCs w:val="32"/>
        </w:rPr>
        <w:t>前</w:t>
      </w:r>
      <w:r w:rsidRPr="006B5E5D">
        <w:rPr>
          <w:rFonts w:ascii="黑体" w:eastAsia="黑体" w:hAnsi="黑体" w:cs="Times New Roman"/>
          <w:kern w:val="0"/>
          <w:sz w:val="32"/>
          <w:szCs w:val="32"/>
        </w:rPr>
        <w:t xml:space="preserve">  </w:t>
      </w:r>
      <w:r w:rsidRPr="006B5E5D">
        <w:rPr>
          <w:rFonts w:ascii="黑体" w:eastAsia="黑体" w:hAnsi="黑体" w:cs="Times New Roman" w:hint="eastAsia"/>
          <w:kern w:val="0"/>
          <w:sz w:val="32"/>
          <w:szCs w:val="32"/>
        </w:rPr>
        <w:t>言</w:t>
      </w:r>
      <w:bookmarkEnd w:id="21"/>
      <w:bookmarkEnd w:id="22"/>
      <w:bookmarkEnd w:id="23"/>
      <w:bookmarkEnd w:id="24"/>
      <w:bookmarkEnd w:id="25"/>
      <w:bookmarkEnd w:id="26"/>
      <w:bookmarkEnd w:id="27"/>
      <w:bookmarkEnd w:id="28"/>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丹东市是全国最大的边境城市、全国区域性物流节点城市、陆上边境口岸型国家物流枢纽、重点开发开放试验区，也是全国水生态文明建设示范市和中国气候宜居市。按照党中央、国务院关于建立国土空间规划体系并监督实施的重大部署，丹东市人民政府组织编制了《丹东市国土空间总体规划（</w:t>
      </w:r>
      <w:r>
        <w:rPr>
          <w:rFonts w:eastAsia="仿宋_GB2312" w:hint="eastAsia"/>
          <w:sz w:val="32"/>
          <w:szCs w:val="32"/>
        </w:rPr>
        <w:t>2021-2035</w:t>
      </w:r>
      <w:r>
        <w:rPr>
          <w:rFonts w:eastAsia="仿宋_GB2312" w:hint="eastAsia"/>
          <w:sz w:val="32"/>
          <w:szCs w:val="32"/>
        </w:rPr>
        <w:t>年）》（以下简称《规划》）。</w:t>
      </w:r>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《规划》是丹东市首部“多规合一”的国土空间总体规划，是高质量创建“三个城市”（即东北亚地区有影响的国际化水平的开放型城市，数字化、智能化发展的创新型城市，绿色发展、美丽文明的</w:t>
      </w:r>
      <w:proofErr w:type="gramStart"/>
      <w:r>
        <w:rPr>
          <w:rFonts w:eastAsia="仿宋_GB2312" w:hint="eastAsia"/>
          <w:sz w:val="32"/>
          <w:szCs w:val="32"/>
        </w:rPr>
        <w:t>幸福宜</w:t>
      </w:r>
      <w:proofErr w:type="gramEnd"/>
      <w:r>
        <w:rPr>
          <w:rFonts w:eastAsia="仿宋_GB2312" w:hint="eastAsia"/>
          <w:sz w:val="32"/>
          <w:szCs w:val="32"/>
        </w:rPr>
        <w:t>居城市）的空间蓝图，是丹东市国土空间保护、开发、利用、修复和指导各类建设的行动纲领，具有综合性、战略性、协调性、基础性和约束性。</w:t>
      </w:r>
      <w:r>
        <w:rPr>
          <w:rFonts w:eastAsia="仿宋_GB2312" w:hint="eastAsia"/>
          <w:sz w:val="32"/>
          <w:szCs w:val="32"/>
        </w:rPr>
        <w:t xml:space="preserve"> </w:t>
      </w:r>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《规划》以习近平新时代中国特色社会主义思想为指导，全面贯彻落实党的二十大精神，认真落</w:t>
      </w:r>
      <w:proofErr w:type="gramStart"/>
      <w:r>
        <w:rPr>
          <w:rFonts w:eastAsia="仿宋_GB2312" w:hint="eastAsia"/>
          <w:sz w:val="32"/>
          <w:szCs w:val="32"/>
        </w:rPr>
        <w:t>实习近</w:t>
      </w:r>
      <w:proofErr w:type="gramEnd"/>
      <w:r>
        <w:rPr>
          <w:rFonts w:eastAsia="仿宋_GB2312" w:hint="eastAsia"/>
          <w:sz w:val="32"/>
          <w:szCs w:val="32"/>
        </w:rPr>
        <w:t>平总书记关于东北、辽宁振兴发展的重要讲话和指示批示精神，全面细化落实《全国国土空间规划纲要（</w:t>
      </w:r>
      <w:r>
        <w:rPr>
          <w:rFonts w:eastAsia="仿宋_GB2312" w:hint="eastAsia"/>
          <w:sz w:val="32"/>
          <w:szCs w:val="32"/>
        </w:rPr>
        <w:t>2021-2035</w:t>
      </w:r>
      <w:r>
        <w:rPr>
          <w:rFonts w:eastAsia="仿宋_GB2312" w:hint="eastAsia"/>
          <w:sz w:val="32"/>
          <w:szCs w:val="32"/>
        </w:rPr>
        <w:t>年）》《辽宁省国土空间规划（</w:t>
      </w:r>
      <w:r>
        <w:rPr>
          <w:rFonts w:eastAsia="仿宋_GB2312" w:hint="eastAsia"/>
          <w:sz w:val="32"/>
          <w:szCs w:val="32"/>
        </w:rPr>
        <w:t>2021-2035</w:t>
      </w:r>
      <w:r>
        <w:rPr>
          <w:rFonts w:eastAsia="仿宋_GB2312" w:hint="eastAsia"/>
          <w:sz w:val="32"/>
          <w:szCs w:val="32"/>
        </w:rPr>
        <w:t>年）》，统筹发展和安全，科学划定耕地和永久基本农田、生态保护红线和城镇开发边界，</w:t>
      </w:r>
      <w:r>
        <w:rPr>
          <w:rFonts w:eastAsia="仿宋_GB2312" w:hint="eastAsia"/>
          <w:sz w:val="32"/>
          <w:szCs w:val="32"/>
        </w:rPr>
        <w:lastRenderedPageBreak/>
        <w:t>整体谋划国土空间开发保护新格局，为打好打赢新时代辽沈战役“丹东之战”、奋力谱写中国式现代化丹东新篇章提供坚实的空间保障。</w:t>
      </w: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38" w:name="_Toc7723"/>
      <w:bookmarkStart w:id="39" w:name="_Toc32130"/>
      <w:bookmarkStart w:id="40" w:name="_Toc3966"/>
      <w:r>
        <w:rPr>
          <w:rFonts w:ascii="Times New Roman" w:eastAsia="方正小标宋_GBK" w:hAnsi="Times New Roman" w:cs="Times New Roman" w:hint="eastAsia"/>
          <w:b w:val="0"/>
          <w:sz w:val="36"/>
          <w:szCs w:val="36"/>
        </w:rPr>
        <w:t>总则</w:t>
      </w:r>
      <w:bookmarkEnd w:id="29"/>
      <w:bookmarkEnd w:id="30"/>
      <w:bookmarkEnd w:id="31"/>
      <w:bookmarkEnd w:id="32"/>
      <w:bookmarkEnd w:id="33"/>
      <w:bookmarkEnd w:id="34"/>
      <w:bookmarkEnd w:id="35"/>
      <w:bookmarkEnd w:id="36"/>
      <w:bookmarkEnd w:id="38"/>
      <w:bookmarkEnd w:id="39"/>
      <w:bookmarkEnd w:id="40"/>
    </w:p>
    <w:p w:rsidR="00A765C5" w:rsidRDefault="00702EF7" w:rsidP="006B5E5D">
      <w:pPr>
        <w:numPr>
          <w:ilvl w:val="0"/>
          <w:numId w:val="2"/>
        </w:numPr>
        <w:snapToGrid w:val="0"/>
        <w:spacing w:beforeLines="50" w:before="156" w:afterLines="50" w:after="156" w:line="600" w:lineRule="exact"/>
        <w:ind w:firstLineChars="200" w:firstLine="640"/>
        <w:jc w:val="left"/>
        <w:outlineLvl w:val="1"/>
        <w:rPr>
          <w:rFonts w:ascii="Times New Roman" w:eastAsia="楷体_GB2312" w:hAnsi="Times New Roman" w:cs="Times New Roman"/>
          <w:sz w:val="32"/>
          <w:szCs w:val="32"/>
        </w:rPr>
      </w:pPr>
      <w:bookmarkStart w:id="41" w:name="_Toc1012"/>
      <w:bookmarkStart w:id="42" w:name="_Toc7181"/>
      <w:bookmarkStart w:id="43" w:name="_Toc25023"/>
      <w:bookmarkStart w:id="44" w:name="_Toc14108"/>
      <w:bookmarkStart w:id="45" w:name="_Toc6155"/>
      <w:bookmarkStart w:id="46" w:name="_Toc9429"/>
      <w:bookmarkStart w:id="47" w:name="_Toc4752"/>
      <w:bookmarkStart w:id="48" w:name="_Toc27589"/>
      <w:r>
        <w:rPr>
          <w:rFonts w:ascii="Times New Roman" w:eastAsia="楷体_GB2312" w:hAnsi="Times New Roman" w:cs="Times New Roman" w:hint="eastAsia"/>
          <w:sz w:val="32"/>
          <w:szCs w:val="32"/>
        </w:rPr>
        <w:t>规划目的</w:t>
      </w:r>
      <w:bookmarkEnd w:id="41"/>
      <w:bookmarkEnd w:id="42"/>
      <w:bookmarkEnd w:id="43"/>
      <w:bookmarkEnd w:id="44"/>
      <w:bookmarkEnd w:id="45"/>
      <w:bookmarkEnd w:id="46"/>
      <w:bookmarkEnd w:id="47"/>
      <w:bookmarkEnd w:id="48"/>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为贯彻落实《</w:t>
      </w:r>
      <w:r>
        <w:rPr>
          <w:rFonts w:ascii="仿宋_GB2312" w:eastAsia="仿宋_GB2312" w:hAnsi="仿宋_GB2312" w:cs="仿宋_GB2312" w:hint="eastAsia"/>
          <w:color w:val="000000"/>
          <w:sz w:val="32"/>
          <w:szCs w:val="32"/>
        </w:rPr>
        <w:t>中共中央</w:t>
      </w:r>
      <w:r>
        <w:rPr>
          <w:rFonts w:ascii="仿宋_GB2312" w:eastAsia="仿宋_GB2312" w:hAnsi="仿宋_GB2312" w:cs="仿宋_GB2312"/>
          <w:color w:val="000000"/>
          <w:sz w:val="32"/>
          <w:szCs w:val="32"/>
        </w:rPr>
        <w:t xml:space="preserve"> </w:t>
      </w:r>
      <w:r>
        <w:rPr>
          <w:rFonts w:ascii="仿宋_GB2312" w:eastAsia="仿宋_GB2312" w:hAnsi="仿宋_GB2312" w:cs="仿宋_GB2312" w:hint="eastAsia"/>
          <w:color w:val="000000"/>
          <w:sz w:val="32"/>
          <w:szCs w:val="32"/>
        </w:rPr>
        <w:t>国务院关于建立国土空间规划体系并监督实施的若干意见</w:t>
      </w:r>
      <w:r>
        <w:rPr>
          <w:rFonts w:eastAsia="仿宋_GB2312" w:hint="eastAsia"/>
          <w:sz w:val="32"/>
          <w:szCs w:val="32"/>
        </w:rPr>
        <w:t>》《中共辽宁省委</w:t>
      </w:r>
      <w:r>
        <w:rPr>
          <w:rFonts w:eastAsia="仿宋_GB2312"/>
          <w:sz w:val="32"/>
          <w:szCs w:val="32"/>
        </w:rPr>
        <w:t xml:space="preserve"> </w:t>
      </w:r>
      <w:r>
        <w:rPr>
          <w:rFonts w:eastAsia="仿宋_GB2312" w:hint="eastAsia"/>
          <w:sz w:val="32"/>
          <w:szCs w:val="32"/>
        </w:rPr>
        <w:t>辽宁省人民政府关于建立全省国土空间规划体系并监督实施的意见》《全国国土空间规划纲要（</w:t>
      </w:r>
      <w:r>
        <w:rPr>
          <w:rFonts w:eastAsia="仿宋_GB2312" w:hint="eastAsia"/>
          <w:sz w:val="32"/>
          <w:szCs w:val="32"/>
        </w:rPr>
        <w:t>2021-2035</w:t>
      </w:r>
      <w:r>
        <w:rPr>
          <w:rFonts w:eastAsia="仿宋_GB2312" w:hint="eastAsia"/>
          <w:sz w:val="32"/>
          <w:szCs w:val="32"/>
        </w:rPr>
        <w:t>年）》《辽宁省国土空间规划（</w:t>
      </w:r>
      <w:r>
        <w:rPr>
          <w:rFonts w:eastAsia="仿宋_GB2312" w:hint="eastAsia"/>
          <w:sz w:val="32"/>
          <w:szCs w:val="32"/>
        </w:rPr>
        <w:t>2021-2035</w:t>
      </w:r>
      <w:r>
        <w:rPr>
          <w:rFonts w:eastAsia="仿宋_GB2312" w:hint="eastAsia"/>
          <w:sz w:val="32"/>
          <w:szCs w:val="32"/>
        </w:rPr>
        <w:t>年）》，科学有序推进丹东市国土空间开发、分类保护和综合整治，合理配置资源和提升利用效率，形成“生产空间集约高效、生活空间宜居适度、生态空间山清水秀”的国土空间开发保护格局，实现国土空间治理体系和治理能力现代化，特编制《丹东市国土空间总体规划（</w:t>
      </w:r>
      <w:r>
        <w:rPr>
          <w:rFonts w:eastAsia="仿宋_GB2312" w:hint="eastAsia"/>
          <w:sz w:val="32"/>
          <w:szCs w:val="32"/>
        </w:rPr>
        <w:t>2021-2035</w:t>
      </w:r>
      <w:r>
        <w:rPr>
          <w:rFonts w:eastAsia="仿宋_GB2312" w:hint="eastAsia"/>
          <w:sz w:val="32"/>
          <w:szCs w:val="32"/>
        </w:rPr>
        <w:t>年）》。</w:t>
      </w:r>
    </w:p>
    <w:p w:rsidR="00A765C5" w:rsidRDefault="00702EF7" w:rsidP="006B5E5D">
      <w:pPr>
        <w:numPr>
          <w:ilvl w:val="0"/>
          <w:numId w:val="2"/>
        </w:numPr>
        <w:snapToGrid w:val="0"/>
        <w:spacing w:beforeLines="50" w:before="156" w:afterLines="50" w:after="156" w:line="600" w:lineRule="exact"/>
        <w:ind w:firstLineChars="200" w:firstLine="640"/>
        <w:jc w:val="left"/>
        <w:outlineLvl w:val="1"/>
        <w:rPr>
          <w:rFonts w:ascii="Times New Roman" w:eastAsia="楷体_GB2312" w:hAnsi="Times New Roman" w:cs="Times New Roman"/>
          <w:sz w:val="32"/>
          <w:szCs w:val="32"/>
        </w:rPr>
      </w:pPr>
      <w:bookmarkStart w:id="49" w:name="_Toc13690"/>
      <w:bookmarkStart w:id="50" w:name="_Toc22128"/>
      <w:r>
        <w:rPr>
          <w:rFonts w:ascii="Times New Roman" w:eastAsia="楷体_GB2312" w:hAnsi="Times New Roman" w:cs="Times New Roman" w:hint="eastAsia"/>
          <w:sz w:val="32"/>
          <w:szCs w:val="32"/>
        </w:rPr>
        <w:t>规划定位</w:t>
      </w:r>
      <w:bookmarkEnd w:id="49"/>
      <w:bookmarkEnd w:id="50"/>
    </w:p>
    <w:p w:rsidR="00A765C5" w:rsidRDefault="00702EF7">
      <w:pPr>
        <w:pStyle w:val="0"/>
        <w:spacing w:line="600" w:lineRule="exact"/>
        <w:ind w:firstLine="640"/>
        <w:rPr>
          <w:rFonts w:eastAsia="仿宋_GB2312"/>
          <w:sz w:val="32"/>
          <w:szCs w:val="32"/>
        </w:rPr>
      </w:pPr>
      <w:r>
        <w:rPr>
          <w:rFonts w:eastAsia="仿宋_GB2312" w:hint="eastAsia"/>
          <w:sz w:val="32"/>
          <w:szCs w:val="32"/>
        </w:rPr>
        <w:t>本规划是丹东市行政辖区范围内国土空间保护、开发、利用、修复的全域性、纲领性、综合性、基础性规划，是丹东市国土空间发展的战略蓝图、刚性约束和指导各类建设的行动纲领，是编制县级国土空间总体规划和详细规划的基本依据，是相关专项规划的基础。</w:t>
      </w:r>
    </w:p>
    <w:p w:rsidR="00A765C5" w:rsidRDefault="00702EF7" w:rsidP="006B5E5D">
      <w:pPr>
        <w:numPr>
          <w:ilvl w:val="0"/>
          <w:numId w:val="2"/>
        </w:numPr>
        <w:snapToGrid w:val="0"/>
        <w:spacing w:beforeLines="50" w:before="156" w:afterLines="50" w:after="156" w:line="600" w:lineRule="exact"/>
        <w:ind w:firstLineChars="200" w:firstLine="640"/>
        <w:jc w:val="left"/>
        <w:outlineLvl w:val="1"/>
        <w:rPr>
          <w:rFonts w:ascii="Times New Roman" w:eastAsia="楷体_GB2312" w:hAnsi="Times New Roman" w:cs="Times New Roman"/>
          <w:sz w:val="32"/>
          <w:szCs w:val="32"/>
        </w:rPr>
      </w:pPr>
      <w:bookmarkStart w:id="51" w:name="_Toc7660"/>
      <w:bookmarkStart w:id="52" w:name="_Toc7455"/>
      <w:bookmarkStart w:id="53" w:name="_Toc23933"/>
      <w:bookmarkStart w:id="54" w:name="_Toc12954"/>
      <w:bookmarkStart w:id="55" w:name="_Toc8457"/>
      <w:bookmarkStart w:id="56" w:name="_Toc3803"/>
      <w:bookmarkStart w:id="57" w:name="_Toc4856"/>
      <w:bookmarkStart w:id="58" w:name="_Toc5108"/>
      <w:r>
        <w:rPr>
          <w:rFonts w:ascii="Times New Roman" w:eastAsia="楷体_GB2312" w:hAnsi="Times New Roman" w:cs="Times New Roman" w:hint="eastAsia"/>
          <w:sz w:val="32"/>
          <w:szCs w:val="32"/>
        </w:rPr>
        <w:lastRenderedPageBreak/>
        <w:t>指导思想</w:t>
      </w:r>
      <w:bookmarkEnd w:id="51"/>
      <w:bookmarkEnd w:id="52"/>
      <w:bookmarkEnd w:id="53"/>
      <w:bookmarkEnd w:id="54"/>
      <w:bookmarkEnd w:id="55"/>
      <w:bookmarkEnd w:id="56"/>
      <w:bookmarkEnd w:id="57"/>
      <w:bookmarkEnd w:id="58"/>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坚持以习近平新时代中国特色社会主义思想为指导，全面贯彻党的二十大精神，深入贯彻习近平生态文明思想及习近平总书记关于东北、辽宁振兴发展和沿边地区建设发展的重要讲话和指示批示精神，立足新发展阶段，完整、准确、全面贯彻新发展理念，服务和融入新发展格局，牢牢把握高质量发展的首要任务和支撑构建全省“一圈一带两区”（“一圈”指沈阳都市圈，“一带”指辽宁沿海经济带，“两区”指辽宁融入京津冀协同发展战略先导区、辽东绿色经济区）区域发展格局的战略任务，立足中国最大边境城市、陆上边境口岸型国家物流枢纽等区位优势和开放型城市、创新型城市、</w:t>
      </w:r>
      <w:proofErr w:type="gramStart"/>
      <w:r>
        <w:rPr>
          <w:rFonts w:eastAsia="仿宋_GB2312" w:hint="eastAsia"/>
          <w:sz w:val="32"/>
          <w:szCs w:val="32"/>
        </w:rPr>
        <w:t>幸福宜</w:t>
      </w:r>
      <w:proofErr w:type="gramEnd"/>
      <w:r>
        <w:rPr>
          <w:rFonts w:eastAsia="仿宋_GB2312" w:hint="eastAsia"/>
          <w:sz w:val="32"/>
          <w:szCs w:val="32"/>
        </w:rPr>
        <w:t>居城市建设目标，统筹发展和安全，整体谋划丹东市国土空间开发保护新格局，坚持陆海统筹和协同开放，全面提升国土空间治理体系和治理能力现代化水平，提高国土空间资源保护水平和利用效率，彰显独具魅力的国土空间品质，为进一步巩固丹东市在区域发展中的战略地位、实现丹东市全面振兴全方位振兴提供空间支撑和保障。</w:t>
      </w:r>
    </w:p>
    <w:p w:rsidR="00A765C5" w:rsidRDefault="00702EF7" w:rsidP="006B5E5D">
      <w:pPr>
        <w:numPr>
          <w:ilvl w:val="0"/>
          <w:numId w:val="2"/>
        </w:numPr>
        <w:snapToGrid w:val="0"/>
        <w:spacing w:beforeLines="50" w:before="156" w:afterLines="50" w:after="156" w:line="600" w:lineRule="exact"/>
        <w:ind w:firstLineChars="200" w:firstLine="640"/>
        <w:jc w:val="left"/>
        <w:outlineLvl w:val="1"/>
        <w:rPr>
          <w:rFonts w:ascii="Times New Roman" w:eastAsia="楷体_GB2312" w:hAnsi="Times New Roman" w:cs="Times New Roman"/>
          <w:sz w:val="32"/>
          <w:szCs w:val="32"/>
        </w:rPr>
      </w:pPr>
      <w:bookmarkStart w:id="59" w:name="_Toc18957"/>
      <w:bookmarkStart w:id="60" w:name="_Toc6842"/>
      <w:bookmarkStart w:id="61" w:name="_Toc23263"/>
      <w:bookmarkStart w:id="62" w:name="_Toc26758"/>
      <w:bookmarkStart w:id="63" w:name="_Toc395"/>
      <w:bookmarkStart w:id="64" w:name="_Toc4332"/>
      <w:bookmarkStart w:id="65" w:name="_Toc4303"/>
      <w:bookmarkStart w:id="66" w:name="_Toc27456"/>
      <w:r>
        <w:rPr>
          <w:rFonts w:ascii="Times New Roman" w:eastAsia="楷体_GB2312" w:hAnsi="Times New Roman" w:cs="Times New Roman" w:hint="eastAsia"/>
          <w:sz w:val="32"/>
          <w:szCs w:val="32"/>
        </w:rPr>
        <w:t>规划依据</w:t>
      </w:r>
      <w:bookmarkEnd w:id="59"/>
      <w:bookmarkEnd w:id="60"/>
      <w:bookmarkEnd w:id="61"/>
      <w:bookmarkEnd w:id="62"/>
      <w:bookmarkEnd w:id="63"/>
      <w:bookmarkEnd w:id="64"/>
      <w:bookmarkEnd w:id="65"/>
      <w:bookmarkEnd w:id="66"/>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《中华人民共和国土地管理法》《中华人民共和国城乡规划法》《中华人民共和国海域使用管理法》《中华人民共和国海岛保护法》《中共中央</w:t>
      </w:r>
      <w:r>
        <w:rPr>
          <w:rFonts w:eastAsia="仿宋_GB2312"/>
          <w:sz w:val="32"/>
          <w:szCs w:val="32"/>
        </w:rPr>
        <w:t xml:space="preserve"> </w:t>
      </w:r>
      <w:r>
        <w:rPr>
          <w:rFonts w:eastAsia="仿宋_GB2312" w:hint="eastAsia"/>
          <w:sz w:val="32"/>
          <w:szCs w:val="32"/>
        </w:rPr>
        <w:t>国务院关于建立国土空间规划体系并监督实施的若干意见》《中共中央办公厅</w:t>
      </w:r>
      <w:r>
        <w:rPr>
          <w:rFonts w:eastAsia="仿宋_GB2312"/>
          <w:sz w:val="32"/>
          <w:szCs w:val="32"/>
        </w:rPr>
        <w:t xml:space="preserve"> </w:t>
      </w:r>
      <w:r>
        <w:rPr>
          <w:rFonts w:eastAsia="仿宋_GB2312" w:hint="eastAsia"/>
          <w:sz w:val="32"/>
          <w:szCs w:val="32"/>
        </w:rPr>
        <w:t>国务院</w:t>
      </w:r>
      <w:r>
        <w:rPr>
          <w:rFonts w:eastAsia="仿宋_GB2312" w:hint="eastAsia"/>
          <w:sz w:val="32"/>
          <w:szCs w:val="32"/>
        </w:rPr>
        <w:lastRenderedPageBreak/>
        <w:t>办公厅印发〈关于在国土空</w:t>
      </w:r>
      <w:r>
        <w:rPr>
          <w:rFonts w:eastAsia="仿宋_GB2312"/>
          <w:sz w:val="32"/>
          <w:szCs w:val="32"/>
        </w:rPr>
        <w:t xml:space="preserve"> </w:t>
      </w:r>
      <w:r>
        <w:rPr>
          <w:rFonts w:eastAsia="仿宋_GB2312" w:hint="eastAsia"/>
          <w:sz w:val="32"/>
          <w:szCs w:val="32"/>
        </w:rPr>
        <w:t>间规划中统筹划定落实三条控制线的指导意见〉的通知》《中华人民共和国国民经济和社会发展第十四个五年规划和</w:t>
      </w:r>
      <w:r>
        <w:rPr>
          <w:rFonts w:eastAsia="仿宋_GB2312" w:hint="eastAsia"/>
          <w:sz w:val="32"/>
          <w:szCs w:val="32"/>
        </w:rPr>
        <w:t>2035</w:t>
      </w:r>
      <w:r>
        <w:rPr>
          <w:rFonts w:eastAsia="仿宋_GB2312" w:hint="eastAsia"/>
          <w:sz w:val="32"/>
          <w:szCs w:val="32"/>
        </w:rPr>
        <w:t>年远景目标纲要》《市级国土空间总体规划编制指南（试行）》《全国国土空间规划纲要（</w:t>
      </w:r>
      <w:r>
        <w:rPr>
          <w:rFonts w:eastAsia="仿宋_GB2312" w:hint="eastAsia"/>
          <w:sz w:val="32"/>
          <w:szCs w:val="32"/>
        </w:rPr>
        <w:t>2021-2035</w:t>
      </w:r>
      <w:r>
        <w:rPr>
          <w:rFonts w:eastAsia="仿宋_GB2312" w:hint="eastAsia"/>
          <w:sz w:val="32"/>
          <w:szCs w:val="32"/>
        </w:rPr>
        <w:t>年）》《</w:t>
      </w:r>
      <w:r>
        <w:rPr>
          <w:rFonts w:ascii="仿宋_GB2312" w:eastAsia="仿宋_GB2312" w:hAnsi="仿宋_GB2312" w:cs="仿宋_GB2312" w:hint="eastAsia"/>
          <w:color w:val="000000"/>
          <w:sz w:val="32"/>
          <w:szCs w:val="32"/>
        </w:rPr>
        <w:t>辽宁省国民经济和社会发展第十四个五年规划和二○三五年远景目标纲要</w:t>
      </w:r>
      <w:r>
        <w:rPr>
          <w:rFonts w:eastAsia="仿宋_GB2312" w:hint="eastAsia"/>
          <w:sz w:val="32"/>
          <w:szCs w:val="32"/>
        </w:rPr>
        <w:t>》《辽宁省国土空间规划（</w:t>
      </w:r>
      <w:r>
        <w:rPr>
          <w:rFonts w:eastAsia="仿宋_GB2312" w:hint="eastAsia"/>
          <w:sz w:val="32"/>
          <w:szCs w:val="32"/>
        </w:rPr>
        <w:t>2021-2035</w:t>
      </w:r>
      <w:r>
        <w:rPr>
          <w:rFonts w:eastAsia="仿宋_GB2312" w:hint="eastAsia"/>
          <w:sz w:val="32"/>
          <w:szCs w:val="32"/>
        </w:rPr>
        <w:t>年）》</w:t>
      </w:r>
      <w:r>
        <w:rPr>
          <w:rFonts w:ascii="仿宋_GB2312" w:eastAsia="仿宋_GB2312" w:hAnsi="仿宋_GB2312" w:cs="仿宋_GB2312" w:hint="eastAsia"/>
          <w:sz w:val="32"/>
          <w:szCs w:val="32"/>
        </w:rPr>
        <w:t>《丹东市国民经济和社会发展第十四个五年规划和二〇三五年远景目标纲要》</w:t>
      </w:r>
      <w:r>
        <w:rPr>
          <w:rFonts w:eastAsia="仿宋_GB2312" w:hint="eastAsia"/>
          <w:sz w:val="32"/>
          <w:szCs w:val="32"/>
        </w:rPr>
        <w:t>等其他相关法律法规和技术标准规范。</w:t>
      </w:r>
    </w:p>
    <w:p w:rsidR="00A765C5" w:rsidRDefault="00702EF7" w:rsidP="006B5E5D">
      <w:pPr>
        <w:numPr>
          <w:ilvl w:val="0"/>
          <w:numId w:val="2"/>
        </w:numPr>
        <w:snapToGrid w:val="0"/>
        <w:spacing w:beforeLines="50" w:before="156" w:afterLines="50" w:after="156" w:line="600" w:lineRule="exact"/>
        <w:ind w:firstLineChars="200" w:firstLine="640"/>
        <w:jc w:val="left"/>
        <w:outlineLvl w:val="1"/>
        <w:rPr>
          <w:rFonts w:ascii="Times New Roman" w:eastAsia="楷体_GB2312" w:hAnsi="Times New Roman" w:cs="Times New Roman"/>
          <w:sz w:val="32"/>
          <w:szCs w:val="32"/>
        </w:rPr>
      </w:pPr>
      <w:bookmarkStart w:id="67" w:name="_Toc21380"/>
      <w:bookmarkStart w:id="68" w:name="_Toc4185"/>
      <w:bookmarkStart w:id="69" w:name="_Toc27350"/>
      <w:bookmarkStart w:id="70" w:name="_Toc7733"/>
      <w:bookmarkStart w:id="71" w:name="_Toc6999"/>
      <w:bookmarkStart w:id="72" w:name="_Toc20952"/>
      <w:bookmarkStart w:id="73" w:name="_Toc26256"/>
      <w:bookmarkStart w:id="74" w:name="_Toc19871"/>
      <w:r>
        <w:rPr>
          <w:rFonts w:ascii="Times New Roman" w:eastAsia="楷体_GB2312" w:hAnsi="Times New Roman" w:cs="Times New Roman" w:hint="eastAsia"/>
          <w:sz w:val="32"/>
          <w:szCs w:val="32"/>
        </w:rPr>
        <w:t>规划范围</w:t>
      </w:r>
      <w:bookmarkEnd w:id="67"/>
      <w:bookmarkEnd w:id="68"/>
      <w:bookmarkEnd w:id="69"/>
      <w:bookmarkEnd w:id="70"/>
      <w:bookmarkEnd w:id="71"/>
      <w:bookmarkEnd w:id="72"/>
      <w:bookmarkEnd w:id="73"/>
      <w:bookmarkEnd w:id="74"/>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本规划范围包括市域和中心城区两个层次。</w:t>
      </w:r>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市域规划范围为丹东市行政辖区内的陆域和海域空间。中心城区规划范围为元宝区、振兴区、振安区的</w:t>
      </w:r>
      <w:r>
        <w:rPr>
          <w:rFonts w:eastAsia="仿宋_GB2312" w:hint="eastAsia"/>
          <w:sz w:val="32"/>
          <w:szCs w:val="32"/>
        </w:rPr>
        <w:t>13</w:t>
      </w:r>
      <w:r>
        <w:rPr>
          <w:rFonts w:eastAsia="仿宋_GB2312" w:hint="eastAsia"/>
          <w:sz w:val="32"/>
          <w:szCs w:val="32"/>
        </w:rPr>
        <w:t>个街道和浪头镇全域，以及汤池、同兴、安民、金山、楼房、九连城镇的部分行政村范围，面积</w:t>
      </w:r>
      <w:r>
        <w:rPr>
          <w:rFonts w:eastAsia="仿宋_GB2312" w:hint="eastAsia"/>
          <w:sz w:val="32"/>
          <w:szCs w:val="32"/>
        </w:rPr>
        <w:t>192.44</w:t>
      </w:r>
      <w:r>
        <w:rPr>
          <w:rFonts w:eastAsia="仿宋_GB2312" w:hint="eastAsia"/>
          <w:sz w:val="32"/>
          <w:szCs w:val="32"/>
        </w:rPr>
        <w:t>平方千米。</w:t>
      </w:r>
    </w:p>
    <w:p w:rsidR="00A765C5" w:rsidRDefault="00702EF7" w:rsidP="006B5E5D">
      <w:pPr>
        <w:numPr>
          <w:ilvl w:val="0"/>
          <w:numId w:val="2"/>
        </w:numPr>
        <w:snapToGrid w:val="0"/>
        <w:spacing w:beforeLines="50" w:before="156" w:afterLines="50" w:after="156" w:line="600" w:lineRule="exact"/>
        <w:ind w:firstLineChars="200" w:firstLine="640"/>
        <w:jc w:val="left"/>
        <w:outlineLvl w:val="1"/>
        <w:rPr>
          <w:rFonts w:ascii="Times New Roman" w:eastAsia="仿宋_GB2312" w:hAnsi="Times New Roman" w:cs="Times New Roman"/>
          <w:sz w:val="32"/>
          <w:szCs w:val="32"/>
        </w:rPr>
      </w:pPr>
      <w:bookmarkStart w:id="75" w:name="_Toc30861"/>
      <w:bookmarkStart w:id="76" w:name="_Toc9940"/>
      <w:bookmarkStart w:id="77" w:name="_Toc1453"/>
      <w:bookmarkStart w:id="78" w:name="_Toc21199"/>
      <w:bookmarkStart w:id="79" w:name="_Toc17334"/>
      <w:bookmarkStart w:id="80" w:name="_Toc31985"/>
      <w:bookmarkStart w:id="81" w:name="_Toc13317"/>
      <w:bookmarkStart w:id="82" w:name="_Toc16267"/>
      <w:r>
        <w:rPr>
          <w:rFonts w:ascii="Times New Roman" w:eastAsia="楷体_GB2312" w:hAnsi="Times New Roman" w:cs="Times New Roman" w:hint="eastAsia"/>
          <w:sz w:val="32"/>
          <w:szCs w:val="32"/>
        </w:rPr>
        <w:t>规划期限</w:t>
      </w:r>
      <w:bookmarkEnd w:id="75"/>
      <w:bookmarkEnd w:id="76"/>
      <w:bookmarkEnd w:id="77"/>
      <w:bookmarkEnd w:id="78"/>
      <w:bookmarkEnd w:id="79"/>
      <w:bookmarkEnd w:id="80"/>
      <w:bookmarkEnd w:id="81"/>
      <w:bookmarkEnd w:id="82"/>
    </w:p>
    <w:p w:rsidR="00A765C5" w:rsidRDefault="00702EF7">
      <w:pPr>
        <w:pStyle w:val="0"/>
        <w:spacing w:line="600" w:lineRule="exact"/>
        <w:ind w:firstLine="640"/>
        <w:rPr>
          <w:rFonts w:eastAsia="仿宋_GB2312"/>
          <w:sz w:val="32"/>
          <w:szCs w:val="32"/>
        </w:rPr>
      </w:pPr>
      <w:r>
        <w:rPr>
          <w:rFonts w:eastAsia="仿宋_GB2312" w:hint="eastAsia"/>
          <w:sz w:val="32"/>
          <w:szCs w:val="32"/>
        </w:rPr>
        <w:t>规划基期为</w:t>
      </w:r>
      <w:r>
        <w:rPr>
          <w:rFonts w:eastAsia="仿宋_GB2312" w:hint="eastAsia"/>
          <w:sz w:val="32"/>
          <w:szCs w:val="32"/>
        </w:rPr>
        <w:t>2020</w:t>
      </w:r>
      <w:r>
        <w:rPr>
          <w:rFonts w:eastAsia="仿宋_GB2312" w:hint="eastAsia"/>
          <w:sz w:val="32"/>
          <w:szCs w:val="32"/>
        </w:rPr>
        <w:t>年，规划期限为</w:t>
      </w:r>
      <w:r>
        <w:rPr>
          <w:rFonts w:eastAsia="仿宋_GB2312" w:hint="eastAsia"/>
          <w:sz w:val="32"/>
          <w:szCs w:val="32"/>
        </w:rPr>
        <w:t>2021-2035</w:t>
      </w:r>
      <w:r>
        <w:rPr>
          <w:rFonts w:eastAsia="仿宋_GB2312" w:hint="eastAsia"/>
          <w:sz w:val="32"/>
          <w:szCs w:val="32"/>
        </w:rPr>
        <w:t>年，近期到</w:t>
      </w:r>
      <w:r>
        <w:rPr>
          <w:rFonts w:eastAsia="仿宋_GB2312" w:hint="eastAsia"/>
          <w:sz w:val="32"/>
          <w:szCs w:val="32"/>
        </w:rPr>
        <w:t>2025</w:t>
      </w:r>
      <w:r>
        <w:rPr>
          <w:rFonts w:eastAsia="仿宋_GB2312" w:hint="eastAsia"/>
          <w:sz w:val="32"/>
          <w:szCs w:val="32"/>
        </w:rPr>
        <w:t>年，远景展望到</w:t>
      </w:r>
      <w:r>
        <w:rPr>
          <w:rFonts w:eastAsia="仿宋_GB2312" w:hint="eastAsia"/>
          <w:sz w:val="32"/>
          <w:szCs w:val="32"/>
        </w:rPr>
        <w:t>2050</w:t>
      </w:r>
      <w:r>
        <w:rPr>
          <w:rFonts w:eastAsia="仿宋_GB2312" w:hint="eastAsia"/>
          <w:sz w:val="32"/>
          <w:szCs w:val="32"/>
        </w:rPr>
        <w:t>年。</w:t>
      </w:r>
    </w:p>
    <w:p w:rsidR="00A765C5" w:rsidRDefault="00702EF7" w:rsidP="006B5E5D">
      <w:pPr>
        <w:numPr>
          <w:ilvl w:val="0"/>
          <w:numId w:val="2"/>
        </w:numPr>
        <w:snapToGrid w:val="0"/>
        <w:spacing w:beforeLines="50" w:before="156" w:afterLines="50" w:after="156" w:line="600" w:lineRule="exact"/>
        <w:ind w:firstLineChars="200" w:firstLine="640"/>
        <w:jc w:val="left"/>
        <w:outlineLvl w:val="1"/>
        <w:rPr>
          <w:rFonts w:ascii="Times New Roman" w:eastAsia="楷体_GB2312" w:hAnsi="Times New Roman" w:cs="Times New Roman"/>
          <w:sz w:val="32"/>
          <w:szCs w:val="32"/>
        </w:rPr>
      </w:pPr>
      <w:bookmarkStart w:id="83" w:name="_Toc20303"/>
      <w:bookmarkStart w:id="84" w:name="_Toc14185"/>
      <w:bookmarkStart w:id="85" w:name="_Toc27201"/>
      <w:bookmarkStart w:id="86" w:name="_Toc15535"/>
      <w:bookmarkStart w:id="87" w:name="_Toc2711"/>
      <w:bookmarkStart w:id="88" w:name="_Toc11488"/>
      <w:bookmarkStart w:id="89" w:name="_Toc24818"/>
      <w:bookmarkStart w:id="90" w:name="_Toc1895"/>
      <w:bookmarkStart w:id="91" w:name="_Toc15648"/>
      <w:bookmarkStart w:id="92" w:name="_Toc29513"/>
      <w:bookmarkStart w:id="93" w:name="_Toc6207"/>
      <w:r>
        <w:rPr>
          <w:rFonts w:ascii="Times New Roman" w:eastAsia="楷体_GB2312" w:hAnsi="Times New Roman" w:cs="Times New Roman" w:hint="eastAsia"/>
          <w:sz w:val="32"/>
          <w:szCs w:val="32"/>
        </w:rPr>
        <w:t>规划效力</w:t>
      </w:r>
      <w:bookmarkEnd w:id="83"/>
      <w:bookmarkEnd w:id="84"/>
      <w:bookmarkEnd w:id="85"/>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文本中加下划线的内容以及附表中约束性指标为规划的强制性内容。本规划自辽宁省人民政府批复之日起生效，</w:t>
      </w:r>
      <w:r>
        <w:rPr>
          <w:rFonts w:eastAsia="仿宋_GB2312" w:hint="eastAsia"/>
          <w:sz w:val="32"/>
          <w:szCs w:val="32"/>
        </w:rPr>
        <w:lastRenderedPageBreak/>
        <w:t>由丹东市人民政府组织实施，任何单位和个人不得违反和擅自修改。因国家重大战略调整、重大项目建设或者行政区划调整等确需修改本规划的，须按照法定程序进行修改。</w:t>
      </w:r>
    </w:p>
    <w:p w:rsidR="00A765C5" w:rsidRDefault="00A765C5">
      <w:pPr>
        <w:pStyle w:val="0"/>
        <w:spacing w:line="600" w:lineRule="exact"/>
        <w:ind w:firstLine="640"/>
        <w:jc w:val="both"/>
        <w:rPr>
          <w:rFonts w:eastAsia="仿宋_GB2312"/>
          <w:sz w:val="32"/>
          <w:szCs w:val="32"/>
        </w:rPr>
        <w:sectPr w:rsidR="00A765C5">
          <w:footerReference w:type="default" r:id="rId9"/>
          <w:pgSz w:w="11850" w:h="16783"/>
          <w:pgMar w:top="1440" w:right="1800" w:bottom="1440" w:left="1800" w:header="720" w:footer="720" w:gutter="0"/>
          <w:pgNumType w:start="1"/>
          <w:cols w:space="720"/>
          <w:docGrid w:type="lines" w:linePitch="312"/>
        </w:sectPr>
      </w:pP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94" w:name="_Toc25431"/>
      <w:bookmarkStart w:id="95" w:name="_Toc6921"/>
      <w:bookmarkStart w:id="96" w:name="_Toc6201"/>
      <w:bookmarkStart w:id="97" w:name="_Toc25715"/>
      <w:bookmarkStart w:id="98" w:name="_Toc398"/>
      <w:bookmarkStart w:id="99" w:name="_Toc24655"/>
      <w:bookmarkStart w:id="100" w:name="_Toc4676"/>
      <w:bookmarkStart w:id="101" w:name="_Toc9578"/>
      <w:bookmarkStart w:id="102" w:name="_Toc23178"/>
      <w:bookmarkStart w:id="103" w:name="_Toc18585"/>
      <w:bookmarkStart w:id="104" w:name="_Toc19378"/>
      <w:bookmarkEnd w:id="37"/>
      <w:bookmarkEnd w:id="86"/>
      <w:bookmarkEnd w:id="87"/>
      <w:bookmarkEnd w:id="88"/>
      <w:bookmarkEnd w:id="89"/>
      <w:bookmarkEnd w:id="90"/>
      <w:bookmarkEnd w:id="91"/>
      <w:bookmarkEnd w:id="92"/>
      <w:bookmarkEnd w:id="93"/>
      <w:r>
        <w:rPr>
          <w:rFonts w:ascii="Times New Roman" w:eastAsia="方正小标宋_GBK" w:hAnsi="Times New Roman" w:cs="Times New Roman" w:hint="eastAsia"/>
          <w:b w:val="0"/>
          <w:sz w:val="36"/>
          <w:szCs w:val="36"/>
        </w:rPr>
        <w:lastRenderedPageBreak/>
        <w:t>现状</w:t>
      </w:r>
      <w:bookmarkEnd w:id="94"/>
      <w:bookmarkEnd w:id="95"/>
      <w:bookmarkEnd w:id="96"/>
      <w:bookmarkEnd w:id="97"/>
      <w:bookmarkEnd w:id="98"/>
      <w:bookmarkEnd w:id="99"/>
      <w:bookmarkEnd w:id="100"/>
      <w:bookmarkEnd w:id="101"/>
      <w:r>
        <w:rPr>
          <w:rFonts w:ascii="Times New Roman" w:eastAsia="方正小标宋_GBK" w:hAnsi="Times New Roman" w:cs="Times New Roman" w:hint="eastAsia"/>
          <w:b w:val="0"/>
          <w:sz w:val="36"/>
          <w:szCs w:val="36"/>
        </w:rPr>
        <w:t>基础、存在问题和风险挑战</w:t>
      </w:r>
      <w:bookmarkEnd w:id="102"/>
      <w:bookmarkEnd w:id="103"/>
      <w:bookmarkEnd w:id="104"/>
    </w:p>
    <w:p w:rsidR="00A765C5" w:rsidRDefault="00702EF7" w:rsidP="006B5E5D">
      <w:pPr>
        <w:pStyle w:val="2"/>
        <w:numPr>
          <w:ilvl w:val="0"/>
          <w:numId w:val="3"/>
        </w:numPr>
        <w:snapToGrid w:val="0"/>
        <w:spacing w:beforeLines="50" w:before="156" w:afterLines="50" w:after="156" w:line="600" w:lineRule="exact"/>
        <w:jc w:val="center"/>
        <w:rPr>
          <w:rFonts w:ascii="Times New Roman" w:eastAsia="黑体" w:hAnsi="Times New Roman"/>
          <w:b w:val="0"/>
          <w:bCs w:val="0"/>
          <w:sz w:val="32"/>
        </w:rPr>
      </w:pPr>
      <w:bookmarkStart w:id="105" w:name="_Toc2312"/>
      <w:bookmarkStart w:id="106" w:name="_Toc32720"/>
      <w:bookmarkStart w:id="107" w:name="_Toc25406"/>
      <w:bookmarkStart w:id="108" w:name="_Toc22201"/>
      <w:bookmarkStart w:id="109" w:name="_Toc4575"/>
      <w:bookmarkStart w:id="110" w:name="_Toc18933"/>
      <w:bookmarkStart w:id="111" w:name="_Toc188"/>
      <w:bookmarkStart w:id="112" w:name="_Toc5991"/>
      <w:bookmarkStart w:id="113" w:name="_Toc2979"/>
      <w:bookmarkStart w:id="114" w:name="_Toc26750"/>
      <w:r>
        <w:rPr>
          <w:rFonts w:ascii="Times New Roman" w:eastAsia="黑体" w:hAnsi="Times New Roman" w:hint="eastAsia"/>
          <w:b w:val="0"/>
          <w:bCs w:val="0"/>
          <w:sz w:val="32"/>
        </w:rPr>
        <w:t>现状</w:t>
      </w:r>
      <w:bookmarkEnd w:id="105"/>
      <w:bookmarkEnd w:id="106"/>
      <w:bookmarkEnd w:id="107"/>
      <w:bookmarkEnd w:id="108"/>
      <w:bookmarkEnd w:id="109"/>
      <w:bookmarkEnd w:id="110"/>
      <w:bookmarkEnd w:id="111"/>
      <w:r>
        <w:rPr>
          <w:rFonts w:ascii="Times New Roman" w:eastAsia="黑体" w:hAnsi="Times New Roman" w:hint="eastAsia"/>
          <w:b w:val="0"/>
          <w:bCs w:val="0"/>
          <w:sz w:val="32"/>
        </w:rPr>
        <w:t>特征</w:t>
      </w:r>
      <w:bookmarkEnd w:id="112"/>
      <w:bookmarkEnd w:id="113"/>
      <w:bookmarkEnd w:id="114"/>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仿宋_GB2312" w:hAnsi="Times New Roman" w:cs="Times New Roman"/>
          <w:sz w:val="32"/>
          <w:szCs w:val="32"/>
        </w:rPr>
      </w:pPr>
      <w:bookmarkStart w:id="115" w:name="_Toc21404"/>
      <w:bookmarkStart w:id="116" w:name="_Toc1728"/>
      <w:bookmarkStart w:id="117" w:name="_Toc28396"/>
      <w:bookmarkStart w:id="118" w:name="_Toc21836"/>
      <w:bookmarkStart w:id="119" w:name="_Toc16765"/>
      <w:bookmarkStart w:id="120" w:name="_Toc29592"/>
      <w:bookmarkStart w:id="121" w:name="_Toc11853"/>
      <w:bookmarkStart w:id="122" w:name="_Toc3318"/>
      <w:bookmarkStart w:id="123" w:name="_Toc15551"/>
      <w:bookmarkStart w:id="124" w:name="_Toc18253"/>
      <w:r>
        <w:rPr>
          <w:rFonts w:ascii="Times New Roman" w:eastAsia="楷体_GB2312" w:hAnsi="Times New Roman" w:cs="Times New Roman" w:hint="eastAsia"/>
          <w:sz w:val="32"/>
          <w:szCs w:val="32"/>
        </w:rPr>
        <w:t>独特的地理区位</w:t>
      </w:r>
      <w:bookmarkEnd w:id="115"/>
      <w:bookmarkEnd w:id="116"/>
      <w:bookmarkEnd w:id="117"/>
      <w:bookmarkEnd w:id="118"/>
      <w:bookmarkEnd w:id="119"/>
      <w:bookmarkEnd w:id="120"/>
      <w:bookmarkEnd w:id="121"/>
      <w:bookmarkEnd w:id="122"/>
      <w:bookmarkEnd w:id="123"/>
      <w:bookmarkEnd w:id="124"/>
    </w:p>
    <w:p w:rsidR="00A765C5" w:rsidRDefault="00702EF7">
      <w:pPr>
        <w:pStyle w:val="0"/>
        <w:spacing w:line="600" w:lineRule="exact"/>
        <w:ind w:firstLine="640"/>
        <w:jc w:val="both"/>
        <w:rPr>
          <w:rFonts w:eastAsia="仿宋_GB2312"/>
          <w:sz w:val="32"/>
          <w:szCs w:val="32"/>
        </w:rPr>
      </w:pPr>
      <w:r>
        <w:rPr>
          <w:rFonts w:eastAsia="仿宋_GB2312" w:hint="eastAsia"/>
          <w:sz w:val="32"/>
          <w:szCs w:val="32"/>
        </w:rPr>
        <w:t>我国唯一的“三最、三沿”城市。丹东市是中国海岸线的最北端起点、我国最大的边境城市、明万里长城最东端起点，是以工业、商贸、物流、旅游为主体的沿江、沿海、沿边城市。中朝边界鸭绿江辽宁段两国共同国界水域中心线长</w:t>
      </w:r>
      <w:r>
        <w:rPr>
          <w:rFonts w:eastAsia="仿宋_GB2312" w:hint="eastAsia"/>
          <w:sz w:val="32"/>
          <w:szCs w:val="32"/>
        </w:rPr>
        <w:t>220.9</w:t>
      </w:r>
      <w:r>
        <w:rPr>
          <w:rFonts w:eastAsia="仿宋_GB2312" w:hint="eastAsia"/>
          <w:sz w:val="32"/>
          <w:szCs w:val="32"/>
        </w:rPr>
        <w:t>千米。</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5" w:name="_Toc15286"/>
      <w:bookmarkStart w:id="126" w:name="_Toc18085"/>
      <w:bookmarkStart w:id="127" w:name="_Toc5332"/>
      <w:bookmarkStart w:id="128" w:name="_Toc28267"/>
      <w:bookmarkStart w:id="129" w:name="_Toc23955"/>
      <w:bookmarkStart w:id="130" w:name="_Toc3647"/>
      <w:bookmarkStart w:id="131" w:name="_Toc2370"/>
      <w:bookmarkStart w:id="132" w:name="_Toc9739"/>
      <w:r>
        <w:rPr>
          <w:rFonts w:ascii="Times New Roman" w:eastAsia="楷体_GB2312" w:hAnsi="Times New Roman" w:cs="Times New Roman" w:hint="eastAsia"/>
          <w:sz w:val="32"/>
          <w:szCs w:val="32"/>
        </w:rPr>
        <w:t>便捷的区域交通</w:t>
      </w:r>
      <w:bookmarkEnd w:id="125"/>
      <w:bookmarkEnd w:id="126"/>
      <w:bookmarkEnd w:id="127"/>
      <w:bookmarkEnd w:id="128"/>
      <w:bookmarkEnd w:id="129"/>
      <w:bookmarkEnd w:id="130"/>
      <w:bookmarkEnd w:id="131"/>
      <w:bookmarkEnd w:id="132"/>
    </w:p>
    <w:p w:rsidR="00A765C5" w:rsidRDefault="00702EF7">
      <w:pPr>
        <w:pStyle w:val="0"/>
        <w:spacing w:line="600" w:lineRule="exact"/>
        <w:ind w:firstLine="640"/>
        <w:rPr>
          <w:rFonts w:eastAsia="仿宋_GB2312"/>
          <w:sz w:val="32"/>
          <w:szCs w:val="32"/>
        </w:rPr>
      </w:pPr>
      <w:r>
        <w:rPr>
          <w:rFonts w:eastAsia="仿宋_GB2312" w:hint="eastAsia"/>
          <w:sz w:val="32"/>
          <w:szCs w:val="32"/>
        </w:rPr>
        <w:t>拥有海、陆、空、口岸综合立体交通。丹东市是亚洲唯一同时拥有边境口岸、机场、高铁、河港、海港、高速公路的区域</w:t>
      </w:r>
      <w:proofErr w:type="gramStart"/>
      <w:r>
        <w:rPr>
          <w:rFonts w:eastAsia="仿宋_GB2312" w:hint="eastAsia"/>
          <w:sz w:val="32"/>
          <w:szCs w:val="32"/>
        </w:rPr>
        <w:t>级流通</w:t>
      </w:r>
      <w:proofErr w:type="gramEnd"/>
      <w:r>
        <w:rPr>
          <w:rFonts w:eastAsia="仿宋_GB2312" w:hint="eastAsia"/>
          <w:sz w:val="32"/>
          <w:szCs w:val="32"/>
        </w:rPr>
        <w:t>节点城市，是我国中等规模城市中唯一的既有国家一类陆路口岸又有国家一类港口口岸的城市。</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3" w:name="_Toc9876"/>
      <w:bookmarkStart w:id="134" w:name="_Toc29883"/>
      <w:bookmarkStart w:id="135" w:name="_Toc23044"/>
      <w:bookmarkStart w:id="136" w:name="_Toc18498"/>
      <w:bookmarkStart w:id="137" w:name="_Toc16480"/>
      <w:bookmarkStart w:id="138" w:name="_Toc30620"/>
      <w:bookmarkStart w:id="139" w:name="_Toc28"/>
      <w:bookmarkStart w:id="140" w:name="_Toc1699"/>
      <w:r>
        <w:rPr>
          <w:rFonts w:ascii="Times New Roman" w:eastAsia="楷体_GB2312" w:hAnsi="Times New Roman" w:cs="Times New Roman" w:hint="eastAsia"/>
          <w:sz w:val="32"/>
          <w:szCs w:val="32"/>
        </w:rPr>
        <w:t>重要的生态地位</w:t>
      </w:r>
      <w:bookmarkEnd w:id="133"/>
      <w:bookmarkEnd w:id="134"/>
      <w:bookmarkEnd w:id="135"/>
      <w:bookmarkEnd w:id="136"/>
      <w:bookmarkEnd w:id="137"/>
      <w:bookmarkEnd w:id="138"/>
      <w:bookmarkEnd w:id="139"/>
      <w:bookmarkEnd w:id="140"/>
    </w:p>
    <w:p w:rsidR="00A765C5" w:rsidRDefault="00702EF7">
      <w:pPr>
        <w:pStyle w:val="0"/>
        <w:spacing w:line="600" w:lineRule="exact"/>
        <w:ind w:firstLine="640"/>
        <w:rPr>
          <w:rFonts w:eastAsia="仿宋_GB2312"/>
          <w:sz w:val="32"/>
          <w:szCs w:val="32"/>
        </w:rPr>
      </w:pPr>
      <w:r>
        <w:rPr>
          <w:rFonts w:eastAsia="仿宋_GB2312" w:hint="eastAsia"/>
          <w:sz w:val="32"/>
          <w:szCs w:val="32"/>
        </w:rPr>
        <w:t>保障区域生态安全的排头兵。丹东市是《全国重要生态系统保护和修复重大工程总体规划》确定的“东北森林带”的重要组成部分，也是辽宁省构建“两屏一带七廊”（“两屏”指辽东山地丘陵水源涵养与水土保持生态屏障、</w:t>
      </w:r>
      <w:proofErr w:type="gramStart"/>
      <w:r>
        <w:rPr>
          <w:rFonts w:eastAsia="仿宋_GB2312" w:hint="eastAsia"/>
          <w:sz w:val="32"/>
          <w:szCs w:val="32"/>
        </w:rPr>
        <w:t>辽西低</w:t>
      </w:r>
      <w:proofErr w:type="gramEnd"/>
      <w:r>
        <w:rPr>
          <w:rFonts w:eastAsia="仿宋_GB2312" w:hint="eastAsia"/>
          <w:sz w:val="32"/>
          <w:szCs w:val="32"/>
        </w:rPr>
        <w:t>山丘陵水土保持与防风固沙生态屏障，“一带”指沿海防护林带，“七廊”指多级生态廊道体系）的陆海生态安全战略</w:t>
      </w:r>
      <w:r>
        <w:rPr>
          <w:rFonts w:eastAsia="仿宋_GB2312" w:hint="eastAsia"/>
          <w:sz w:val="32"/>
          <w:szCs w:val="32"/>
        </w:rPr>
        <w:lastRenderedPageBreak/>
        <w:t>格局中“辽东山地丘陵生态水源涵养与水土保持生态屏障”和“蓝色海岸带”的重要载体，对于维护区域生态安全具有重要战略意义。</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1" w:name="_Toc6274"/>
      <w:bookmarkStart w:id="142" w:name="_Toc14794"/>
      <w:bookmarkStart w:id="143" w:name="_Toc7846"/>
      <w:bookmarkStart w:id="144" w:name="_Toc3231"/>
      <w:bookmarkStart w:id="145" w:name="_Toc6587"/>
      <w:bookmarkStart w:id="146" w:name="_Toc9193"/>
      <w:bookmarkStart w:id="147" w:name="_Toc8586"/>
      <w:bookmarkStart w:id="148" w:name="_Toc15998"/>
      <w:r>
        <w:rPr>
          <w:rFonts w:ascii="Times New Roman" w:eastAsia="楷体_GB2312" w:hAnsi="Times New Roman" w:cs="Times New Roman" w:hint="eastAsia"/>
          <w:sz w:val="32"/>
          <w:szCs w:val="32"/>
        </w:rPr>
        <w:t>交叠的经济区位</w:t>
      </w:r>
      <w:bookmarkEnd w:id="141"/>
      <w:bookmarkEnd w:id="142"/>
      <w:bookmarkEnd w:id="143"/>
      <w:bookmarkEnd w:id="144"/>
      <w:bookmarkEnd w:id="145"/>
      <w:bookmarkEnd w:id="146"/>
      <w:bookmarkEnd w:id="147"/>
      <w:bookmarkEnd w:id="148"/>
    </w:p>
    <w:p w:rsidR="00A765C5" w:rsidRDefault="00702EF7">
      <w:pPr>
        <w:pStyle w:val="0"/>
        <w:spacing w:line="600" w:lineRule="exact"/>
        <w:ind w:firstLine="640"/>
        <w:rPr>
          <w:rFonts w:eastAsia="仿宋_GB2312"/>
          <w:sz w:val="32"/>
          <w:szCs w:val="32"/>
        </w:rPr>
      </w:pPr>
      <w:r>
        <w:rPr>
          <w:rFonts w:eastAsia="仿宋_GB2312" w:hint="eastAsia"/>
          <w:sz w:val="32"/>
          <w:szCs w:val="32"/>
        </w:rPr>
        <w:t>东北亚重要的门户枢纽城市。丹东市地处东北亚的中心地带，是共建“一带一路”海上丝绸之路经济带和陆上中蒙俄经济走廊的重要交汇点，是东北海陆大通道的重要节点和东北东部绿色经济带的重要门户，是辽宁沿海经济带、辽东绿色经济区的重要组成，地处沈阳都市圈辐射区。</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9" w:name="_Toc23670"/>
      <w:bookmarkStart w:id="150" w:name="_Toc32608"/>
      <w:bookmarkStart w:id="151" w:name="_Toc15036"/>
      <w:bookmarkStart w:id="152" w:name="_Toc17740"/>
      <w:bookmarkStart w:id="153" w:name="_Toc30310"/>
      <w:bookmarkStart w:id="154" w:name="_Toc22001"/>
      <w:bookmarkStart w:id="155" w:name="_Toc12552"/>
      <w:bookmarkStart w:id="156" w:name="_Toc21542"/>
      <w:r>
        <w:rPr>
          <w:rFonts w:ascii="Times New Roman" w:eastAsia="楷体_GB2312" w:hAnsi="Times New Roman" w:cs="Times New Roman" w:hint="eastAsia"/>
          <w:sz w:val="32"/>
          <w:szCs w:val="32"/>
        </w:rPr>
        <w:t>良好的资源禀赋</w:t>
      </w:r>
      <w:bookmarkEnd w:id="149"/>
      <w:bookmarkEnd w:id="150"/>
      <w:bookmarkEnd w:id="151"/>
      <w:bookmarkEnd w:id="152"/>
      <w:bookmarkEnd w:id="153"/>
      <w:bookmarkEnd w:id="154"/>
      <w:bookmarkEnd w:id="155"/>
      <w:bookmarkEnd w:id="156"/>
    </w:p>
    <w:p w:rsidR="00A765C5" w:rsidRDefault="00702EF7">
      <w:pPr>
        <w:pStyle w:val="0"/>
        <w:spacing w:line="600" w:lineRule="exact"/>
        <w:ind w:firstLine="640"/>
        <w:rPr>
          <w:rFonts w:eastAsia="仿宋_GB2312"/>
          <w:sz w:val="32"/>
          <w:szCs w:val="32"/>
        </w:rPr>
      </w:pPr>
      <w:r>
        <w:rPr>
          <w:rFonts w:eastAsia="仿宋_GB2312" w:hint="eastAsia"/>
          <w:sz w:val="32"/>
          <w:szCs w:val="32"/>
        </w:rPr>
        <w:t>“红绿蓝”禀赋。丹东市拥有鸭绿江断桥、抗美援朝纪念馆等红色旅游资源，被誉为“英雄城市”；丹东市地处辽东山地丘陵，山地丘陵占陆域国土面积</w:t>
      </w:r>
      <w:r>
        <w:rPr>
          <w:rFonts w:eastAsia="仿宋_GB2312" w:hint="eastAsia"/>
          <w:sz w:val="32"/>
          <w:szCs w:val="32"/>
        </w:rPr>
        <w:t>72.4%</w:t>
      </w:r>
      <w:r>
        <w:rPr>
          <w:rFonts w:eastAsia="仿宋_GB2312" w:hint="eastAsia"/>
          <w:sz w:val="32"/>
          <w:szCs w:val="32"/>
        </w:rPr>
        <w:t>，气候湿润，年平均降水量</w:t>
      </w:r>
      <w:r>
        <w:rPr>
          <w:rFonts w:eastAsia="仿宋_GB2312" w:hint="eastAsia"/>
          <w:sz w:val="32"/>
          <w:szCs w:val="32"/>
        </w:rPr>
        <w:t>800-1200</w:t>
      </w:r>
      <w:r>
        <w:rPr>
          <w:rFonts w:eastAsia="仿宋_GB2312" w:hint="eastAsia"/>
          <w:sz w:val="32"/>
          <w:szCs w:val="32"/>
        </w:rPr>
        <w:t>毫米，拥有优质的绿色生态资源；丹东市海洋蕴藏着丰富的渔业、能源、交通、旅游等资源，海洋经济发展潜力巨大。</w:t>
      </w:r>
    </w:p>
    <w:p w:rsidR="00A765C5" w:rsidRDefault="00702EF7" w:rsidP="006B5E5D">
      <w:pPr>
        <w:pStyle w:val="2"/>
        <w:numPr>
          <w:ilvl w:val="0"/>
          <w:numId w:val="3"/>
        </w:numPr>
        <w:snapToGrid w:val="0"/>
        <w:spacing w:beforeLines="50" w:before="156" w:afterLines="50" w:after="156" w:line="600" w:lineRule="exact"/>
        <w:jc w:val="center"/>
        <w:rPr>
          <w:rFonts w:ascii="Times New Roman" w:eastAsia="黑体" w:hAnsi="Times New Roman"/>
          <w:b w:val="0"/>
          <w:bCs w:val="0"/>
          <w:sz w:val="32"/>
        </w:rPr>
      </w:pPr>
      <w:bookmarkStart w:id="157" w:name="_Toc7663"/>
      <w:bookmarkStart w:id="158" w:name="_Toc16079"/>
      <w:bookmarkStart w:id="159" w:name="_Toc19675"/>
      <w:bookmarkStart w:id="160" w:name="_Toc19789"/>
      <w:bookmarkStart w:id="161" w:name="_Toc29401"/>
      <w:bookmarkStart w:id="162" w:name="_Toc28464"/>
      <w:bookmarkStart w:id="163" w:name="_Toc3499"/>
      <w:bookmarkStart w:id="164" w:name="_Toc23601"/>
      <w:r>
        <w:rPr>
          <w:rFonts w:ascii="Times New Roman" w:eastAsia="黑体" w:hAnsi="Times New Roman" w:hint="eastAsia"/>
          <w:b w:val="0"/>
          <w:bCs w:val="0"/>
          <w:sz w:val="32"/>
        </w:rPr>
        <w:t>主要问题</w:t>
      </w:r>
      <w:bookmarkEnd w:id="157"/>
      <w:bookmarkEnd w:id="158"/>
      <w:bookmarkEnd w:id="159"/>
      <w:bookmarkEnd w:id="160"/>
      <w:bookmarkEnd w:id="161"/>
      <w:bookmarkEnd w:id="162"/>
      <w:bookmarkEnd w:id="163"/>
      <w:bookmarkEnd w:id="164"/>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5" w:name="_Toc31817"/>
      <w:bookmarkStart w:id="166" w:name="_Toc17937"/>
      <w:bookmarkStart w:id="167" w:name="_Toc10400"/>
      <w:r>
        <w:rPr>
          <w:rFonts w:ascii="Times New Roman" w:eastAsia="楷体_GB2312" w:hAnsi="Times New Roman" w:cs="Times New Roman" w:hint="eastAsia"/>
          <w:sz w:val="32"/>
          <w:szCs w:val="32"/>
        </w:rPr>
        <w:t>资源约束趋紧</w:t>
      </w:r>
      <w:bookmarkEnd w:id="165"/>
      <w:bookmarkEnd w:id="166"/>
      <w:bookmarkEnd w:id="16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丹东市平地和缓坡地相对较少；水资源开发利用率较低，</w:t>
      </w:r>
      <w:r>
        <w:rPr>
          <w:rFonts w:ascii="Times New Roman" w:eastAsia="仿宋_GB2312" w:hAnsi="Times New Roman" w:cs="Times New Roman" w:hint="eastAsia"/>
          <w:sz w:val="32"/>
          <w:szCs w:val="32"/>
        </w:rPr>
        <w:t>2020</w:t>
      </w:r>
      <w:r>
        <w:rPr>
          <w:rFonts w:ascii="Times New Roman" w:eastAsia="仿宋_GB2312" w:hAnsi="Times New Roman" w:cs="Times New Roman" w:hint="eastAsia"/>
          <w:sz w:val="32"/>
          <w:szCs w:val="32"/>
        </w:rPr>
        <w:t>年地表水开发利用率</w:t>
      </w:r>
      <w:r>
        <w:rPr>
          <w:rFonts w:ascii="Times New Roman" w:eastAsia="仿宋_GB2312" w:hAnsi="Times New Roman" w:cs="Times New Roman" w:hint="eastAsia"/>
          <w:sz w:val="32"/>
          <w:szCs w:val="32"/>
        </w:rPr>
        <w:t>7.3%</w:t>
      </w:r>
      <w:r>
        <w:rPr>
          <w:rFonts w:ascii="Times New Roman" w:eastAsia="仿宋_GB2312" w:hAnsi="Times New Roman" w:cs="Times New Roman" w:hint="eastAsia"/>
          <w:sz w:val="32"/>
          <w:szCs w:val="32"/>
        </w:rPr>
        <w:t>，地下水开采率</w:t>
      </w:r>
      <w:r>
        <w:rPr>
          <w:rFonts w:ascii="Times New Roman" w:eastAsia="仿宋_GB2312" w:hAnsi="Times New Roman" w:cs="Times New Roman" w:hint="eastAsia"/>
          <w:sz w:val="32"/>
          <w:szCs w:val="32"/>
        </w:rPr>
        <w:t>3.6%</w:t>
      </w:r>
      <w:r>
        <w:rPr>
          <w:rFonts w:ascii="Times New Roman" w:eastAsia="仿宋_GB2312" w:hAnsi="Times New Roman" w:cs="Times New Roman" w:hint="eastAsia"/>
          <w:sz w:val="32"/>
          <w:szCs w:val="32"/>
        </w:rPr>
        <w:t>，水资源利用较为粗放，水稻种植用水量</w:t>
      </w:r>
      <w:r>
        <w:rPr>
          <w:rFonts w:ascii="Times New Roman" w:eastAsia="仿宋_GB2312" w:hAnsi="Times New Roman" w:cs="Times New Roman" w:hint="eastAsia"/>
          <w:sz w:val="32"/>
          <w:szCs w:val="32"/>
        </w:rPr>
        <w:t>820</w:t>
      </w:r>
      <w:r>
        <w:rPr>
          <w:rFonts w:ascii="Times New Roman" w:eastAsia="仿宋_GB2312" w:hAnsi="Times New Roman" w:cs="Times New Roman" w:hint="eastAsia"/>
          <w:sz w:val="32"/>
          <w:szCs w:val="32"/>
        </w:rPr>
        <w:t>立方米</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亩，为辽宁省</w:t>
      </w:r>
      <w:r>
        <w:rPr>
          <w:rFonts w:ascii="Times New Roman" w:eastAsia="仿宋_GB2312" w:hAnsi="Times New Roman" w:cs="Times New Roman" w:hint="eastAsia"/>
          <w:sz w:val="32"/>
          <w:szCs w:val="32"/>
        </w:rPr>
        <w:lastRenderedPageBreak/>
        <w:t>行业标准定额的两倍以上，</w:t>
      </w:r>
      <w:proofErr w:type="gramStart"/>
      <w:r>
        <w:rPr>
          <w:rFonts w:ascii="Times New Roman" w:eastAsia="仿宋_GB2312" w:hAnsi="Times New Roman" w:cs="Times New Roman" w:hint="eastAsia"/>
          <w:sz w:val="32"/>
          <w:szCs w:val="32"/>
        </w:rPr>
        <w:t>且区域</w:t>
      </w:r>
      <w:proofErr w:type="gramEnd"/>
      <w:r>
        <w:rPr>
          <w:rFonts w:ascii="Times New Roman" w:eastAsia="仿宋_GB2312" w:hAnsi="Times New Roman" w:cs="Times New Roman" w:hint="eastAsia"/>
          <w:sz w:val="32"/>
          <w:szCs w:val="32"/>
        </w:rPr>
        <w:t>供水不平衡，局部地区仍存在饮水问题；海岸线利用率高达</w:t>
      </w:r>
      <w:r>
        <w:rPr>
          <w:rFonts w:ascii="Times New Roman" w:eastAsia="仿宋_GB2312" w:hAnsi="Times New Roman" w:cs="Times New Roman" w:hint="eastAsia"/>
          <w:sz w:val="32"/>
          <w:szCs w:val="32"/>
        </w:rPr>
        <w:t>97.6%</w:t>
      </w:r>
      <w:r>
        <w:rPr>
          <w:rFonts w:ascii="Times New Roman" w:eastAsia="仿宋_GB2312" w:hAnsi="Times New Roman" w:cs="Times New Roman" w:hint="eastAsia"/>
          <w:sz w:val="32"/>
          <w:szCs w:val="32"/>
        </w:rPr>
        <w:t>，可利用岸线相对匮乏；捕捞强度超过资源承载和再生能力，海洋渔业捕捞产量由</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3.3</w:t>
      </w:r>
      <w:r>
        <w:rPr>
          <w:rFonts w:ascii="Times New Roman" w:eastAsia="仿宋_GB2312" w:hAnsi="Times New Roman" w:cs="Times New Roman" w:hint="eastAsia"/>
          <w:sz w:val="32"/>
          <w:szCs w:val="32"/>
        </w:rPr>
        <w:t>万吨降低至</w:t>
      </w: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2.5</w:t>
      </w:r>
      <w:r>
        <w:rPr>
          <w:rFonts w:ascii="Times New Roman" w:eastAsia="仿宋_GB2312" w:hAnsi="Times New Roman" w:cs="Times New Roman" w:hint="eastAsia"/>
          <w:sz w:val="32"/>
          <w:szCs w:val="32"/>
        </w:rPr>
        <w:t>万吨，海洋渔业资源衰退严重。</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8" w:name="_Toc18413"/>
      <w:bookmarkStart w:id="169" w:name="_Toc7461"/>
      <w:bookmarkStart w:id="170" w:name="_Toc22221"/>
      <w:r>
        <w:rPr>
          <w:rFonts w:ascii="Times New Roman" w:eastAsia="楷体_GB2312" w:hAnsi="Times New Roman" w:cs="Times New Roman" w:hint="eastAsia"/>
          <w:sz w:val="32"/>
          <w:szCs w:val="32"/>
        </w:rPr>
        <w:t>建设用地布局供需错配</w:t>
      </w:r>
      <w:bookmarkEnd w:id="168"/>
      <w:bookmarkEnd w:id="169"/>
      <w:bookmarkEnd w:id="17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丹东市加快转变经济发展方式，经济增长由扩大增量用地转移到提高质量和效益上来，经济社会逐步转向新的区域发展战略格局，从而导致建设用地布局与宏观发展战略的用地需求布局存在一定程度偏差。</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1" w:name="_Toc20018"/>
      <w:bookmarkStart w:id="172" w:name="_Toc9079"/>
      <w:bookmarkStart w:id="173" w:name="_Toc15369"/>
      <w:r>
        <w:rPr>
          <w:rFonts w:ascii="Times New Roman" w:eastAsia="楷体_GB2312" w:hAnsi="Times New Roman" w:cs="Times New Roman" w:hint="eastAsia"/>
          <w:sz w:val="32"/>
          <w:szCs w:val="32"/>
        </w:rPr>
        <w:t>生态保护形势严峻</w:t>
      </w:r>
      <w:bookmarkEnd w:id="171"/>
      <w:bookmarkEnd w:id="172"/>
      <w:bookmarkEnd w:id="17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陆域生态系统</w:t>
      </w:r>
      <w:proofErr w:type="gramStart"/>
      <w:r>
        <w:rPr>
          <w:rFonts w:ascii="Times New Roman" w:eastAsia="仿宋_GB2312" w:hAnsi="Times New Roman" w:cs="Times New Roman" w:hint="eastAsia"/>
          <w:sz w:val="32"/>
          <w:szCs w:val="32"/>
        </w:rPr>
        <w:t>服务极</w:t>
      </w:r>
      <w:proofErr w:type="gramEnd"/>
      <w:r>
        <w:rPr>
          <w:rFonts w:ascii="Times New Roman" w:eastAsia="仿宋_GB2312" w:hAnsi="Times New Roman" w:cs="Times New Roman" w:hint="eastAsia"/>
          <w:sz w:val="32"/>
          <w:szCs w:val="32"/>
        </w:rPr>
        <w:t>重要区主要分布在北部山区以及鸭绿江口，海域生态系统</w:t>
      </w:r>
      <w:proofErr w:type="gramStart"/>
      <w:r>
        <w:rPr>
          <w:rFonts w:ascii="Times New Roman" w:eastAsia="仿宋_GB2312" w:hAnsi="Times New Roman" w:cs="Times New Roman" w:hint="eastAsia"/>
          <w:sz w:val="32"/>
          <w:szCs w:val="32"/>
        </w:rPr>
        <w:t>服务极</w:t>
      </w:r>
      <w:proofErr w:type="gramEnd"/>
      <w:r>
        <w:rPr>
          <w:rFonts w:ascii="Times New Roman" w:eastAsia="仿宋_GB2312" w:hAnsi="Times New Roman" w:cs="Times New Roman" w:hint="eastAsia"/>
          <w:sz w:val="32"/>
          <w:szCs w:val="32"/>
        </w:rPr>
        <w:t>重要区主要分布于鸭绿江口及大洋河口近岸海域。</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天然林采伐程度高，生态系统功能降低。森林破坏导致生境改变，威胁多种动植物物种生存与繁衍。鸭绿江口滨海湿地景观生态结构完整性变差，大面积天然湿地被开发成水稻种植区和其他类型耕地，湿地系统景观破碎化严重、稳定性减弱，湿地生态系统服务功能受损。</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4" w:name="_Toc23330"/>
      <w:bookmarkStart w:id="175" w:name="_Toc28211"/>
      <w:bookmarkStart w:id="176" w:name="_Toc13667"/>
      <w:r>
        <w:rPr>
          <w:rFonts w:ascii="Times New Roman" w:eastAsia="楷体_GB2312" w:hAnsi="Times New Roman" w:cs="Times New Roman" w:hint="eastAsia"/>
          <w:sz w:val="32"/>
          <w:szCs w:val="32"/>
        </w:rPr>
        <w:t>设施支撑与保障能力不足</w:t>
      </w:r>
      <w:bookmarkEnd w:id="174"/>
      <w:bookmarkEnd w:id="175"/>
      <w:bookmarkEnd w:id="17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人均住房面积低，住房保障能力有待提升。城市风貌塑</w:t>
      </w:r>
      <w:r>
        <w:rPr>
          <w:rFonts w:ascii="Times New Roman" w:eastAsia="仿宋_GB2312" w:hAnsi="Times New Roman" w:cs="Times New Roman" w:hint="eastAsia"/>
          <w:sz w:val="32"/>
          <w:szCs w:val="32"/>
        </w:rPr>
        <w:lastRenderedPageBreak/>
        <w:t>造有待加强。城乡公共服务设施配套不均衡，消防救援覆盖率低，缺乏居住区层面绿地体系。每千名老年人拥有养老床位数</w:t>
      </w:r>
      <w:r>
        <w:rPr>
          <w:rFonts w:ascii="Times New Roman" w:eastAsia="仿宋_GB2312" w:hAnsi="Times New Roman" w:cs="Times New Roman" w:hint="eastAsia"/>
          <w:sz w:val="32"/>
          <w:szCs w:val="32"/>
        </w:rPr>
        <w:t>19.93</w:t>
      </w:r>
      <w:r>
        <w:rPr>
          <w:rFonts w:ascii="Times New Roman" w:eastAsia="仿宋_GB2312" w:hAnsi="Times New Roman" w:cs="Times New Roman" w:hint="eastAsia"/>
          <w:sz w:val="32"/>
          <w:szCs w:val="32"/>
        </w:rPr>
        <w:t>张，低于国家平均水平，老年设施建设将成为城市未来高质量发展重要任务之一。</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7" w:name="_Toc19239"/>
      <w:bookmarkStart w:id="178" w:name="_Toc24228"/>
      <w:bookmarkStart w:id="179" w:name="_Toc12849"/>
      <w:r>
        <w:rPr>
          <w:rFonts w:ascii="Times New Roman" w:eastAsia="楷体_GB2312" w:hAnsi="Times New Roman" w:cs="Times New Roman" w:hint="eastAsia"/>
          <w:sz w:val="32"/>
          <w:szCs w:val="32"/>
        </w:rPr>
        <w:t>人口收缩和老龄化严重</w:t>
      </w:r>
      <w:bookmarkEnd w:id="177"/>
      <w:bookmarkEnd w:id="178"/>
      <w:bookmarkEnd w:id="179"/>
    </w:p>
    <w:p w:rsidR="00A765C5" w:rsidRDefault="00702EF7">
      <w:pPr>
        <w:snapToGrid w:val="0"/>
        <w:spacing w:line="600" w:lineRule="exact"/>
        <w:ind w:firstLineChars="200" w:firstLine="640"/>
        <w:rPr>
          <w:rFonts w:ascii="Times New Roman" w:hAnsi="Times New Roman" w:cs="Times New Roman"/>
          <w:sz w:val="32"/>
          <w:szCs w:val="32"/>
        </w:rPr>
      </w:pPr>
      <w:r>
        <w:rPr>
          <w:rFonts w:ascii="Times New Roman" w:eastAsia="仿宋_GB2312" w:hAnsi="Times New Roman" w:cs="Times New Roman" w:hint="eastAsia"/>
          <w:sz w:val="32"/>
          <w:szCs w:val="32"/>
        </w:rPr>
        <w:t>2008-2020</w:t>
      </w:r>
      <w:r>
        <w:rPr>
          <w:rFonts w:ascii="Times New Roman" w:eastAsia="仿宋_GB2312" w:hAnsi="Times New Roman" w:cs="Times New Roman" w:hint="eastAsia"/>
          <w:sz w:val="32"/>
          <w:szCs w:val="32"/>
        </w:rPr>
        <w:t>年人口进入收缩阶段，市域户籍总人口年均减少近</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万人，年均增长率约为</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‰，特别是</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年至今，受结构性衰退等经济因素影响，人口下降加速，年均增长率达到</w:t>
      </w:r>
      <w:r>
        <w:rPr>
          <w:rFonts w:ascii="Times New Roman" w:eastAsia="仿宋_GB2312" w:hAnsi="Times New Roman" w:cs="Times New Roman" w:hint="eastAsia"/>
          <w:sz w:val="32"/>
          <w:szCs w:val="32"/>
        </w:rPr>
        <w:t>-7.7</w:t>
      </w:r>
      <w:r>
        <w:rPr>
          <w:rFonts w:ascii="Times New Roman" w:eastAsia="仿宋_GB2312" w:hAnsi="Times New Roman" w:cs="Times New Roman" w:hint="eastAsia"/>
          <w:sz w:val="32"/>
          <w:szCs w:val="32"/>
        </w:rPr>
        <w:t>‰。人口老龄化问题严峻，</w:t>
      </w:r>
      <w:r>
        <w:rPr>
          <w:rFonts w:ascii="Times New Roman" w:eastAsia="仿宋_GB2312" w:hAnsi="Times New Roman" w:cs="Times New Roman" w:hint="eastAsia"/>
          <w:sz w:val="32"/>
          <w:szCs w:val="32"/>
        </w:rPr>
        <w:t>2020</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60</w:t>
      </w:r>
      <w:r>
        <w:rPr>
          <w:rFonts w:ascii="Times New Roman" w:eastAsia="仿宋_GB2312" w:hAnsi="Times New Roman" w:cs="Times New Roman" w:hint="eastAsia"/>
          <w:sz w:val="32"/>
          <w:szCs w:val="32"/>
        </w:rPr>
        <w:t>周岁及以上老年人</w:t>
      </w:r>
      <w:r>
        <w:rPr>
          <w:rFonts w:ascii="Times New Roman" w:eastAsia="仿宋_GB2312" w:hAnsi="Times New Roman" w:cs="Times New Roman" w:hint="eastAsia"/>
          <w:sz w:val="32"/>
          <w:szCs w:val="32"/>
        </w:rPr>
        <w:t>63.56</w:t>
      </w:r>
      <w:r>
        <w:rPr>
          <w:rFonts w:ascii="Times New Roman" w:eastAsia="仿宋_GB2312" w:hAnsi="Times New Roman" w:cs="Times New Roman" w:hint="eastAsia"/>
          <w:sz w:val="32"/>
          <w:szCs w:val="32"/>
        </w:rPr>
        <w:t>万人，占比</w:t>
      </w:r>
      <w:r>
        <w:rPr>
          <w:rFonts w:ascii="Times New Roman" w:eastAsia="仿宋_GB2312" w:hAnsi="Times New Roman" w:cs="Times New Roman" w:hint="eastAsia"/>
          <w:sz w:val="32"/>
          <w:szCs w:val="32"/>
        </w:rPr>
        <w:t>29.04%</w:t>
      </w:r>
      <w:r>
        <w:rPr>
          <w:rFonts w:ascii="Times New Roman" w:eastAsia="仿宋_GB2312" w:hAnsi="Times New Roman" w:cs="Times New Roman" w:hint="eastAsia"/>
          <w:sz w:val="32"/>
          <w:szCs w:val="32"/>
        </w:rPr>
        <w:t>，在辽宁省排名第二。</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0" w:name="_Toc901"/>
      <w:bookmarkStart w:id="181" w:name="_Toc9737"/>
      <w:bookmarkStart w:id="182" w:name="_Toc7736"/>
      <w:r>
        <w:rPr>
          <w:rFonts w:ascii="Times New Roman" w:eastAsia="楷体_GB2312" w:hAnsi="Times New Roman" w:cs="Times New Roman" w:hint="eastAsia"/>
          <w:sz w:val="32"/>
          <w:szCs w:val="32"/>
        </w:rPr>
        <w:t>国土开发利用模式亟待转型</w:t>
      </w:r>
      <w:bookmarkEnd w:id="180"/>
      <w:bookmarkEnd w:id="181"/>
      <w:bookmarkEnd w:id="182"/>
    </w:p>
    <w:p w:rsidR="00A765C5" w:rsidRDefault="00702EF7">
      <w:pPr>
        <w:snapToGrid w:val="0"/>
        <w:spacing w:line="600" w:lineRule="exact"/>
        <w:ind w:firstLineChars="200" w:firstLine="640"/>
        <w:rPr>
          <w:rFonts w:ascii="Times New Roman" w:hAnsi="Times New Roman" w:cs="Times New Roman"/>
        </w:rPr>
      </w:pPr>
      <w:r>
        <w:rPr>
          <w:rFonts w:ascii="Times New Roman" w:eastAsia="仿宋_GB2312" w:hAnsi="Times New Roman" w:cs="Times New Roman" w:hint="eastAsia"/>
          <w:sz w:val="32"/>
          <w:szCs w:val="32"/>
        </w:rPr>
        <w:t>建设用地投入产出效益相对失衡，土地投入和固定资产投资没有及时推动经济增长。水资源开发利用方式粗放，利用效率较低，万元地区生产总值水耗远高于全国和辽宁省平均水平，工业用地利用效率较低。城镇体系结构不完善，规模等级结构呈“</w:t>
      </w:r>
      <w:proofErr w:type="gramStart"/>
      <w:r>
        <w:rPr>
          <w:rFonts w:ascii="Times New Roman" w:eastAsia="仿宋_GB2312" w:hAnsi="Times New Roman" w:cs="Times New Roman" w:hint="eastAsia"/>
          <w:sz w:val="32"/>
          <w:szCs w:val="32"/>
        </w:rPr>
        <w:t>一核独</w:t>
      </w:r>
      <w:proofErr w:type="gramEnd"/>
      <w:r>
        <w:rPr>
          <w:rFonts w:ascii="Times New Roman" w:eastAsia="仿宋_GB2312" w:hAnsi="Times New Roman" w:cs="Times New Roman" w:hint="eastAsia"/>
          <w:sz w:val="32"/>
          <w:szCs w:val="32"/>
        </w:rPr>
        <w:t>大”特征，小城镇规模偏小。</w:t>
      </w:r>
    </w:p>
    <w:p w:rsidR="00A765C5" w:rsidRDefault="00702EF7" w:rsidP="006B5E5D">
      <w:pPr>
        <w:pStyle w:val="2"/>
        <w:numPr>
          <w:ilvl w:val="0"/>
          <w:numId w:val="3"/>
        </w:numPr>
        <w:snapToGrid w:val="0"/>
        <w:spacing w:beforeLines="50" w:before="156" w:afterLines="50" w:after="156" w:line="600" w:lineRule="exact"/>
        <w:jc w:val="center"/>
        <w:rPr>
          <w:rFonts w:ascii="Times New Roman" w:eastAsia="黑体" w:hAnsi="Times New Roman"/>
          <w:b w:val="0"/>
          <w:bCs w:val="0"/>
          <w:sz w:val="32"/>
        </w:rPr>
      </w:pPr>
      <w:bookmarkStart w:id="183" w:name="_Toc20566"/>
      <w:bookmarkStart w:id="184" w:name="_Toc13302"/>
      <w:bookmarkStart w:id="185" w:name="_Toc32693"/>
      <w:bookmarkStart w:id="186" w:name="_Toc7296"/>
      <w:bookmarkStart w:id="187" w:name="_Toc21329"/>
      <w:bookmarkStart w:id="188" w:name="_Toc1600"/>
      <w:bookmarkStart w:id="189" w:name="_Toc31669"/>
      <w:bookmarkStart w:id="190" w:name="_Toc23043"/>
      <w:r>
        <w:rPr>
          <w:rFonts w:ascii="Times New Roman" w:eastAsia="黑体" w:hAnsi="Times New Roman" w:hint="eastAsia"/>
          <w:b w:val="0"/>
          <w:bCs w:val="0"/>
          <w:sz w:val="32"/>
        </w:rPr>
        <w:t>风险</w:t>
      </w:r>
      <w:bookmarkEnd w:id="183"/>
      <w:bookmarkEnd w:id="184"/>
      <w:bookmarkEnd w:id="185"/>
      <w:bookmarkEnd w:id="186"/>
      <w:bookmarkEnd w:id="187"/>
      <w:r>
        <w:rPr>
          <w:rFonts w:ascii="Times New Roman" w:eastAsia="黑体" w:hAnsi="Times New Roman" w:hint="eastAsia"/>
          <w:b w:val="0"/>
          <w:bCs w:val="0"/>
          <w:sz w:val="32"/>
        </w:rPr>
        <w:t>挑战</w:t>
      </w:r>
      <w:bookmarkEnd w:id="188"/>
      <w:bookmarkEnd w:id="189"/>
      <w:bookmarkEnd w:id="190"/>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1" w:name="_Toc21003"/>
      <w:bookmarkStart w:id="192" w:name="_Toc25022"/>
      <w:bookmarkStart w:id="193" w:name="_Toc32241"/>
      <w:r>
        <w:rPr>
          <w:rFonts w:ascii="Times New Roman" w:eastAsia="楷体_GB2312" w:hAnsi="Times New Roman" w:cs="Times New Roman" w:hint="eastAsia"/>
          <w:sz w:val="32"/>
          <w:szCs w:val="32"/>
        </w:rPr>
        <w:t>国土安全风险</w:t>
      </w:r>
      <w:bookmarkEnd w:id="191"/>
      <w:bookmarkEnd w:id="192"/>
      <w:bookmarkEnd w:id="19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丹东市地处朝鲜半岛连接部，战争风险与核安全风险突出；同时还面临</w:t>
      </w:r>
      <w:proofErr w:type="gramStart"/>
      <w:r>
        <w:rPr>
          <w:rFonts w:ascii="Times New Roman" w:eastAsia="仿宋_GB2312" w:hAnsi="Times New Roman" w:cs="Times New Roman" w:hint="eastAsia"/>
          <w:sz w:val="32"/>
          <w:szCs w:val="32"/>
        </w:rPr>
        <w:t>宏观经贸</w:t>
      </w:r>
      <w:proofErr w:type="gramEnd"/>
      <w:r>
        <w:rPr>
          <w:rFonts w:ascii="Times New Roman" w:eastAsia="仿宋_GB2312" w:hAnsi="Times New Roman" w:cs="Times New Roman" w:hint="eastAsia"/>
          <w:sz w:val="32"/>
          <w:szCs w:val="32"/>
        </w:rPr>
        <w:t>形势复杂、区域竞争激烈、边境国土安全保障能力下降等风险。</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4" w:name="_Toc31381"/>
      <w:bookmarkStart w:id="195" w:name="_Toc32671"/>
      <w:bookmarkStart w:id="196" w:name="_Toc9885"/>
      <w:r>
        <w:rPr>
          <w:rFonts w:ascii="Times New Roman" w:eastAsia="楷体_GB2312" w:hAnsi="Times New Roman" w:cs="Times New Roman" w:hint="eastAsia"/>
          <w:sz w:val="32"/>
          <w:szCs w:val="32"/>
        </w:rPr>
        <w:lastRenderedPageBreak/>
        <w:t>自然灾害风险</w:t>
      </w:r>
      <w:bookmarkEnd w:id="194"/>
      <w:bookmarkEnd w:id="195"/>
      <w:bookmarkEnd w:id="19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矿产资源开发遗留的废弃矿坑、矿山等易引发区域地质灾害；中小型河流防洪体系不健全；市区排涝能力较差；沿海乡镇存在一定的风暴潮和海啸风险；城镇建设和农业发展受气</w:t>
      </w:r>
      <w:proofErr w:type="gramStart"/>
      <w:r>
        <w:rPr>
          <w:rFonts w:ascii="Times New Roman" w:eastAsia="仿宋_GB2312" w:hAnsi="Times New Roman" w:cs="Times New Roman" w:hint="eastAsia"/>
          <w:sz w:val="32"/>
          <w:szCs w:val="32"/>
        </w:rPr>
        <w:t>象</w:t>
      </w:r>
      <w:proofErr w:type="gramEnd"/>
      <w:r>
        <w:rPr>
          <w:rFonts w:ascii="Times New Roman" w:eastAsia="仿宋_GB2312" w:hAnsi="Times New Roman" w:cs="Times New Roman" w:hint="eastAsia"/>
          <w:sz w:val="32"/>
          <w:szCs w:val="32"/>
        </w:rPr>
        <w:t>灾害影响较大，具有较高的暴雨、台风、暴雪、大雾、大风、强对流天气风险。</w:t>
      </w:r>
    </w:p>
    <w:p w:rsidR="00A765C5" w:rsidRDefault="00702EF7" w:rsidP="006B5E5D">
      <w:pPr>
        <w:pStyle w:val="2"/>
        <w:numPr>
          <w:ilvl w:val="0"/>
          <w:numId w:val="3"/>
        </w:numPr>
        <w:snapToGrid w:val="0"/>
        <w:spacing w:beforeLines="50" w:before="156" w:afterLines="50" w:after="156" w:line="600" w:lineRule="exact"/>
        <w:jc w:val="center"/>
        <w:rPr>
          <w:rFonts w:ascii="Times New Roman" w:eastAsia="黑体" w:hAnsi="Times New Roman"/>
          <w:b w:val="0"/>
          <w:bCs w:val="0"/>
          <w:sz w:val="32"/>
        </w:rPr>
      </w:pPr>
      <w:bookmarkStart w:id="197" w:name="_Toc15334"/>
      <w:bookmarkStart w:id="198" w:name="_Toc22655"/>
      <w:bookmarkStart w:id="199" w:name="_Toc11907"/>
      <w:bookmarkStart w:id="200" w:name="_Toc19725"/>
      <w:bookmarkStart w:id="201" w:name="_Toc9585"/>
      <w:bookmarkStart w:id="202" w:name="_Toc23675"/>
      <w:bookmarkStart w:id="203" w:name="_Toc6547"/>
      <w:bookmarkStart w:id="204" w:name="_Toc229"/>
      <w:bookmarkStart w:id="205" w:name="_Toc5972"/>
      <w:bookmarkStart w:id="206" w:name="_Toc6631"/>
      <w:r>
        <w:rPr>
          <w:rFonts w:ascii="Times New Roman" w:eastAsia="黑体" w:hAnsi="Times New Roman" w:hint="eastAsia"/>
          <w:b w:val="0"/>
          <w:bCs w:val="0"/>
          <w:sz w:val="32"/>
        </w:rPr>
        <w:t>机遇使命</w:t>
      </w:r>
      <w:bookmarkEnd w:id="197"/>
      <w:bookmarkEnd w:id="198"/>
      <w:bookmarkEnd w:id="199"/>
      <w:bookmarkEnd w:id="200"/>
      <w:bookmarkEnd w:id="201"/>
      <w:bookmarkEnd w:id="202"/>
      <w:bookmarkEnd w:id="203"/>
      <w:bookmarkEnd w:id="204"/>
      <w:bookmarkEnd w:id="205"/>
      <w:bookmarkEnd w:id="206"/>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207" w:name="_Toc20318"/>
      <w:bookmarkStart w:id="208" w:name="_Toc31285"/>
      <w:bookmarkStart w:id="209" w:name="_Toc25412"/>
      <w:bookmarkStart w:id="210" w:name="_Toc20068"/>
      <w:bookmarkStart w:id="211" w:name="_Toc2351"/>
      <w:bookmarkStart w:id="212" w:name="_Toc24267"/>
      <w:bookmarkStart w:id="213" w:name="_Toc25341"/>
      <w:bookmarkStart w:id="214" w:name="_Toc2061"/>
      <w:r>
        <w:rPr>
          <w:rFonts w:ascii="Times New Roman" w:eastAsia="楷体_GB2312" w:hAnsi="Times New Roman" w:cs="Times New Roman" w:hint="eastAsia"/>
          <w:sz w:val="32"/>
          <w:szCs w:val="32"/>
        </w:rPr>
        <w:t>国家新发展格局</w:t>
      </w:r>
      <w:bookmarkEnd w:id="207"/>
      <w:bookmarkEnd w:id="208"/>
      <w:bookmarkEnd w:id="209"/>
      <w:bookmarkEnd w:id="210"/>
      <w:bookmarkEnd w:id="211"/>
      <w:bookmarkEnd w:id="212"/>
      <w:bookmarkEnd w:id="213"/>
      <w:r>
        <w:rPr>
          <w:rFonts w:ascii="Times New Roman" w:eastAsia="楷体_GB2312" w:hAnsi="Times New Roman" w:cs="Times New Roman" w:hint="eastAsia"/>
          <w:sz w:val="32"/>
          <w:szCs w:val="32"/>
        </w:rPr>
        <w:t>构建为丹东市构建国土空间开发保护新格局提供重要支撑</w:t>
      </w:r>
      <w:bookmarkEnd w:id="21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构建“以国内大循环为主体、国内国际双循环相互促进”的新发展格局，是未来中国经济发展的战略基点和基本逻辑。“双循环”既是供给</w:t>
      </w:r>
      <w:proofErr w:type="gramStart"/>
      <w:r>
        <w:rPr>
          <w:rFonts w:ascii="Times New Roman" w:eastAsia="仿宋_GB2312" w:hAnsi="Times New Roman" w:cs="Times New Roman" w:hint="eastAsia"/>
          <w:sz w:val="32"/>
          <w:szCs w:val="32"/>
        </w:rPr>
        <w:t>侧改革</w:t>
      </w:r>
      <w:proofErr w:type="gramEnd"/>
      <w:r>
        <w:rPr>
          <w:rFonts w:ascii="Times New Roman" w:eastAsia="仿宋_GB2312" w:hAnsi="Times New Roman" w:cs="Times New Roman" w:hint="eastAsia"/>
          <w:sz w:val="32"/>
          <w:szCs w:val="32"/>
        </w:rPr>
        <w:t>的延续和深化，又是需求端的高质量提升和发展，为丹东市国土开发保护提供新机遇。</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15" w:name="_Toc5191"/>
      <w:bookmarkStart w:id="216" w:name="_Toc30644"/>
      <w:bookmarkStart w:id="217" w:name="_Toc7341"/>
      <w:bookmarkStart w:id="218" w:name="_Toc26062"/>
      <w:bookmarkStart w:id="219" w:name="_Toc8787"/>
      <w:bookmarkStart w:id="220" w:name="_Toc1418"/>
      <w:bookmarkStart w:id="221" w:name="_Toc14838"/>
      <w:bookmarkStart w:id="222" w:name="_Toc4056"/>
      <w:r>
        <w:rPr>
          <w:rFonts w:ascii="Times New Roman" w:eastAsia="楷体_GB2312" w:hAnsi="Times New Roman" w:cs="Times New Roman" w:hint="eastAsia"/>
          <w:sz w:val="32"/>
          <w:szCs w:val="32"/>
        </w:rPr>
        <w:t>东北老工业基地振兴深入推进</w:t>
      </w:r>
      <w:bookmarkEnd w:id="215"/>
      <w:bookmarkEnd w:id="216"/>
      <w:bookmarkEnd w:id="217"/>
      <w:bookmarkEnd w:id="218"/>
      <w:bookmarkEnd w:id="219"/>
      <w:bookmarkEnd w:id="220"/>
      <w:bookmarkEnd w:id="221"/>
      <w:r>
        <w:rPr>
          <w:rFonts w:ascii="Times New Roman" w:eastAsia="楷体_GB2312" w:hAnsi="Times New Roman" w:cs="Times New Roman" w:hint="eastAsia"/>
          <w:sz w:val="32"/>
          <w:szCs w:val="32"/>
        </w:rPr>
        <w:t>为丹东市加快开放发展提供重要动力</w:t>
      </w:r>
      <w:bookmarkEnd w:id="22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党的二十大报告提出“推动东北全面振兴取得新突破”，东北地区将深度融入共建“一带一路”，做好东北沿海经济带和沿边开放大文章，加强与京津冀协同发展。丹东市应进一步强化区域协作，以开放与协作带动发展。</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23" w:name="_Toc9759"/>
      <w:bookmarkStart w:id="224" w:name="_Toc18316"/>
      <w:bookmarkStart w:id="225" w:name="_Toc9723"/>
      <w:bookmarkStart w:id="226" w:name="_Toc29962"/>
      <w:bookmarkStart w:id="227" w:name="_Toc27392"/>
      <w:bookmarkStart w:id="228" w:name="_Toc31828"/>
      <w:bookmarkStart w:id="229" w:name="_Toc20894"/>
      <w:bookmarkStart w:id="230" w:name="_Toc31229"/>
      <w:r>
        <w:rPr>
          <w:rFonts w:ascii="Times New Roman" w:eastAsia="楷体_GB2312" w:hAnsi="Times New Roman" w:cs="Times New Roman" w:hint="eastAsia"/>
          <w:sz w:val="32"/>
          <w:szCs w:val="32"/>
        </w:rPr>
        <w:t>东北东部绿色经济带的建设</w:t>
      </w:r>
      <w:bookmarkEnd w:id="223"/>
      <w:bookmarkEnd w:id="224"/>
      <w:bookmarkEnd w:id="225"/>
      <w:bookmarkEnd w:id="226"/>
      <w:bookmarkEnd w:id="227"/>
      <w:bookmarkEnd w:id="228"/>
      <w:bookmarkEnd w:id="229"/>
      <w:bookmarkEnd w:id="23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东北东部绿色经济带规划建设合作共赢、富有活力、开</w:t>
      </w:r>
      <w:r>
        <w:rPr>
          <w:rFonts w:ascii="Times New Roman" w:eastAsia="仿宋_GB2312" w:hAnsi="Times New Roman" w:cs="Times New Roman" w:hint="eastAsia"/>
          <w:sz w:val="32"/>
          <w:szCs w:val="32"/>
        </w:rPr>
        <w:lastRenderedPageBreak/>
        <w:t>放富裕的绿色经济带，形成“一轴三区七通道”（“一轴”指丹东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通化</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牡丹江</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佳木斯南北向发展主轴，“三区”指南部丹东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桓仁</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通化片区、中部白山</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延边片区、北部佳木斯</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鹤岗</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双鸭山</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七台河</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鸡西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牡丹江片区，“七通道”指通化</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大连、丹东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本溪</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沈阳、白山</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通化</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抚顺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沈阳、珲春</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图们</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吉林</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长春、抚远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佳木斯</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哈尔滨、东宁</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绥芬河</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牡丹江</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哈尔滨、集安</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通化</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辽源</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长春七条联动发展通道）开发格局。丹东市地处经济带发展主轴，是海陆联动的门户，承担区域性中心城市的职能。东北东部绿色经济带的建设，为丹东市枢纽重构、区域协作及动力重塑提供了重要支撑。</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31" w:name="_Toc12549"/>
      <w:bookmarkStart w:id="232" w:name="_Toc28311"/>
      <w:bookmarkStart w:id="233" w:name="_Toc1569"/>
      <w:bookmarkStart w:id="234" w:name="_Toc10225"/>
      <w:bookmarkStart w:id="235" w:name="_Toc28566"/>
      <w:bookmarkStart w:id="236" w:name="_Toc5557"/>
      <w:bookmarkStart w:id="237" w:name="_Toc21620"/>
      <w:bookmarkStart w:id="238" w:name="_Toc2562"/>
      <w:r>
        <w:rPr>
          <w:rFonts w:ascii="Times New Roman" w:eastAsia="楷体_GB2312" w:hAnsi="Times New Roman" w:cs="Times New Roman" w:hint="eastAsia"/>
          <w:sz w:val="32"/>
          <w:szCs w:val="32"/>
        </w:rPr>
        <w:t>辽宁省区域发展新格局</w:t>
      </w:r>
      <w:bookmarkEnd w:id="231"/>
      <w:bookmarkEnd w:id="232"/>
      <w:bookmarkEnd w:id="233"/>
      <w:bookmarkEnd w:id="234"/>
      <w:bookmarkEnd w:id="235"/>
      <w:bookmarkEnd w:id="236"/>
      <w:bookmarkEnd w:id="237"/>
      <w:r>
        <w:rPr>
          <w:rFonts w:ascii="Times New Roman" w:eastAsia="楷体_GB2312" w:hAnsi="Times New Roman" w:cs="Times New Roman" w:hint="eastAsia"/>
          <w:sz w:val="32"/>
          <w:szCs w:val="32"/>
        </w:rPr>
        <w:t>构建进一步促进丹东市与周边区域协同发展</w:t>
      </w:r>
      <w:bookmarkEnd w:id="23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市地处辽宁省“两廊两沿”（“两廊”指向北融入中蒙俄经济走廊、向东构建东北亚经济走廊，“两沿”指辽宁沿海经济带、东部沿边开发开放带）对外开放格局的交汇处以及“一带一区”的结合部，应充分放大沿海沿边、绿色生态优势，立足东北海陆大通道建设，以港口为引擎、以园区为平台、以生态为特色，重塑国土空间开发与保护格局。</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39" w:name="_Toc29280"/>
      <w:bookmarkStart w:id="240" w:name="_Toc29357"/>
      <w:bookmarkStart w:id="241" w:name="_Toc5513"/>
      <w:bookmarkStart w:id="242" w:name="_Toc32010"/>
      <w:bookmarkStart w:id="243" w:name="_Toc25458"/>
      <w:bookmarkStart w:id="244" w:name="_Toc19356"/>
      <w:bookmarkStart w:id="245" w:name="_Toc4985"/>
      <w:bookmarkStart w:id="246" w:name="_Toc6947"/>
      <w:r>
        <w:rPr>
          <w:rFonts w:ascii="Times New Roman" w:eastAsia="楷体_GB2312" w:hAnsi="Times New Roman" w:cs="Times New Roman" w:hint="eastAsia"/>
          <w:sz w:val="32"/>
          <w:szCs w:val="32"/>
        </w:rPr>
        <w:t>辽宁沿海经济带高质量发展</w:t>
      </w:r>
      <w:bookmarkEnd w:id="239"/>
      <w:bookmarkEnd w:id="240"/>
      <w:bookmarkEnd w:id="241"/>
      <w:bookmarkEnd w:id="242"/>
      <w:bookmarkEnd w:id="243"/>
      <w:bookmarkEnd w:id="244"/>
      <w:bookmarkEnd w:id="245"/>
      <w:r>
        <w:rPr>
          <w:rFonts w:ascii="Times New Roman" w:eastAsia="楷体_GB2312" w:hAnsi="Times New Roman" w:cs="Times New Roman" w:hint="eastAsia"/>
          <w:sz w:val="32"/>
          <w:szCs w:val="32"/>
        </w:rPr>
        <w:t>进一步推动丹东市实现高质量发展</w:t>
      </w:r>
      <w:bookmarkEnd w:id="24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辽宁沿海经济带规划形成“</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核引领、两翼协同、多点支撑”（“一核”指大连，“两翼”指“渤海翼”营口、盘锦、</w:t>
      </w:r>
      <w:r>
        <w:rPr>
          <w:rFonts w:ascii="Times New Roman" w:eastAsia="仿宋_GB2312" w:hAnsi="Times New Roman" w:cs="Times New Roman" w:hint="eastAsia"/>
          <w:sz w:val="32"/>
          <w:szCs w:val="32"/>
        </w:rPr>
        <w:lastRenderedPageBreak/>
        <w:t>锦州、葫芦岛和“黄海翼”丹东，“多点”</w:t>
      </w:r>
      <w:proofErr w:type="gramStart"/>
      <w:r>
        <w:rPr>
          <w:rFonts w:ascii="Times New Roman" w:eastAsia="仿宋_GB2312" w:hAnsi="Times New Roman" w:cs="Times New Roman" w:hint="eastAsia"/>
          <w:sz w:val="32"/>
          <w:szCs w:val="32"/>
        </w:rPr>
        <w:t>指重点</w:t>
      </w:r>
      <w:proofErr w:type="gramEnd"/>
      <w:r>
        <w:rPr>
          <w:rFonts w:ascii="Times New Roman" w:eastAsia="仿宋_GB2312" w:hAnsi="Times New Roman" w:cs="Times New Roman" w:hint="eastAsia"/>
          <w:sz w:val="32"/>
          <w:szCs w:val="32"/>
        </w:rPr>
        <w:t>开发开放平台）的高质量发展总体布局。丹东市作为“黄海翼”的核心城市，将深入推进“以港兴市”战略，加快对外经贸创新发展，建设开放合作先导区、海洋经济国际合作示范区，打造面向东北亚高水平开放的新前沿，实现高质量发展。</w:t>
      </w:r>
    </w:p>
    <w:p w:rsidR="00A765C5" w:rsidRDefault="00A765C5">
      <w:pPr>
        <w:pStyle w:val="0"/>
        <w:ind w:firstLine="640"/>
        <w:rPr>
          <w:rFonts w:eastAsia="仿宋_GB2312"/>
          <w:sz w:val="32"/>
          <w:szCs w:val="32"/>
        </w:rPr>
        <w:sectPr w:rsidR="00A765C5">
          <w:pgSz w:w="11850" w:h="16783"/>
          <w:pgMar w:top="1440" w:right="1800" w:bottom="1440" w:left="1800" w:header="720" w:footer="720" w:gutter="0"/>
          <w:cols w:space="720"/>
          <w:docGrid w:type="lines" w:linePitch="312"/>
        </w:sectPr>
      </w:pP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247" w:name="_Toc10905"/>
      <w:bookmarkStart w:id="248" w:name="_Toc28122"/>
      <w:bookmarkStart w:id="249" w:name="_Toc3122"/>
      <w:bookmarkStart w:id="250" w:name="_Toc18961"/>
      <w:bookmarkStart w:id="251" w:name="_Toc29644"/>
      <w:bookmarkStart w:id="252" w:name="_Toc25110"/>
      <w:bookmarkStart w:id="253" w:name="_Toc29273"/>
      <w:bookmarkStart w:id="254" w:name="_Toc23195"/>
      <w:bookmarkStart w:id="255" w:name="_Toc12703"/>
      <w:bookmarkStart w:id="256" w:name="_Toc5782"/>
      <w:bookmarkStart w:id="257" w:name="_Toc24210"/>
      <w:bookmarkStart w:id="258" w:name="_Toc16941"/>
      <w:bookmarkStart w:id="259" w:name="_Toc21345"/>
      <w:bookmarkStart w:id="260" w:name="_Toc22283"/>
      <w:r>
        <w:rPr>
          <w:rFonts w:ascii="Times New Roman" w:eastAsia="方正小标宋_GBK" w:hAnsi="Times New Roman" w:cs="Times New Roman" w:hint="eastAsia"/>
          <w:b w:val="0"/>
          <w:sz w:val="36"/>
          <w:szCs w:val="36"/>
        </w:rPr>
        <w:lastRenderedPageBreak/>
        <w:t>城市性质和目标战略</w:t>
      </w:r>
      <w:bookmarkStart w:id="261" w:name="_Toc19783"/>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A765C5" w:rsidRDefault="00702EF7" w:rsidP="006B5E5D">
      <w:pPr>
        <w:pStyle w:val="2"/>
        <w:numPr>
          <w:ilvl w:val="0"/>
          <w:numId w:val="4"/>
        </w:numPr>
        <w:snapToGrid w:val="0"/>
        <w:spacing w:beforeLines="50" w:before="156" w:afterLines="50" w:after="156" w:line="600" w:lineRule="exact"/>
        <w:jc w:val="center"/>
        <w:rPr>
          <w:rFonts w:ascii="Times New Roman" w:eastAsia="黑体" w:hAnsi="Times New Roman"/>
          <w:b w:val="0"/>
          <w:bCs w:val="0"/>
          <w:sz w:val="32"/>
        </w:rPr>
      </w:pPr>
      <w:bookmarkStart w:id="262" w:name="_Toc26684"/>
      <w:bookmarkStart w:id="263" w:name="_Toc20334"/>
      <w:bookmarkStart w:id="264" w:name="_Toc18578"/>
      <w:bookmarkStart w:id="265" w:name="_Toc17056"/>
      <w:bookmarkStart w:id="266" w:name="_Toc25042"/>
      <w:r>
        <w:rPr>
          <w:rFonts w:ascii="Times New Roman" w:eastAsia="黑体" w:hAnsi="Times New Roman" w:hint="eastAsia"/>
          <w:b w:val="0"/>
          <w:bCs w:val="0"/>
          <w:sz w:val="32"/>
        </w:rPr>
        <w:t>城市性质和核心功能定位</w:t>
      </w:r>
      <w:bookmarkEnd w:id="262"/>
      <w:bookmarkEnd w:id="263"/>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67" w:name="_Toc32575"/>
      <w:bookmarkStart w:id="268" w:name="_Toc13077"/>
      <w:bookmarkStart w:id="269" w:name="_Toc29183"/>
      <w:bookmarkStart w:id="270" w:name="_Toc21852"/>
      <w:bookmarkStart w:id="271" w:name="_Toc2171"/>
      <w:bookmarkStart w:id="272" w:name="_Toc15978"/>
      <w:bookmarkStart w:id="273" w:name="_Toc27385"/>
      <w:bookmarkStart w:id="274" w:name="_Toc2259"/>
      <w:bookmarkStart w:id="275" w:name="_Toc28750"/>
      <w:bookmarkStart w:id="276" w:name="_Toc26125"/>
      <w:bookmarkStart w:id="277" w:name="_Toc26205"/>
      <w:bookmarkStart w:id="278" w:name="_Toc1702"/>
      <w:bookmarkStart w:id="279" w:name="_Toc3276"/>
      <w:bookmarkStart w:id="280" w:name="_Toc9839"/>
      <w:bookmarkStart w:id="281" w:name="_Toc74"/>
      <w:bookmarkStart w:id="282" w:name="_Toc31674"/>
      <w:bookmarkStart w:id="283" w:name="_Toc13430"/>
      <w:r>
        <w:rPr>
          <w:rFonts w:ascii="Times New Roman" w:eastAsia="楷体_GB2312" w:hAnsi="Times New Roman" w:cs="Times New Roman" w:hint="eastAsia"/>
          <w:sz w:val="32"/>
          <w:szCs w:val="32"/>
        </w:rPr>
        <w:t>城市性质</w:t>
      </w:r>
      <w:bookmarkEnd w:id="267"/>
      <w:bookmarkEnd w:id="268"/>
      <w:bookmarkEnd w:id="269"/>
      <w:bookmarkEnd w:id="270"/>
      <w:bookmarkEnd w:id="271"/>
      <w:bookmarkEnd w:id="272"/>
      <w:bookmarkEnd w:id="273"/>
      <w:bookmarkEnd w:id="274"/>
      <w:bookmarkEnd w:id="275"/>
      <w:bookmarkEnd w:id="276"/>
      <w:bookmarkEnd w:id="27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丹东市是东北亚综合枢纽城市、国家边贸中心、东北东部康养旅游中心、辽宁重要的创新驱动中心，即“</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枢纽三中心”。</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东北亚综合枢纽城市。优化升级公路、铁路、港口、航空、口岸群，加强港口专业化、智慧化、绿色化建设，打造“北联俄蒙大陆、南接日韩亚太”的国际多式联运贸易大通道，强化开放合作先导区功能，全面建成东北亚交通、物流、开放枢纽城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国家边贸中心。突出丹东市作为全国最大边境口岸城市的地位，推进边境贸易创新发展和海洋经济国际合作，强化贸易流通和加工制造等功能，打造国家边境线上重要的商贸物流中心和进出口加工基地。</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东北东部康养旅游中心。联动桓仁、通化、白山等特色旅游功能区，发展红色旅游、康养旅游、生态旅游、边境旅游，推进边境旅游试验区建设，打造鸭绿江休闲旅游带。</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辽宁重要的创新驱动中心。以“数字辽宁、智造强省”建设为契机，以建设数字化、智能化发展的创新型城市为引领，强化企业创新主体地位，提升产业技术创新水平，建设</w:t>
      </w:r>
      <w:r>
        <w:rPr>
          <w:rFonts w:ascii="Times New Roman" w:eastAsia="仿宋_GB2312" w:hAnsi="Times New Roman" w:cs="Times New Roman" w:hint="eastAsia"/>
          <w:sz w:val="32"/>
          <w:szCs w:val="32"/>
        </w:rPr>
        <w:lastRenderedPageBreak/>
        <w:t>高水平创新园区。</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84" w:name="_Toc12161"/>
      <w:bookmarkStart w:id="285" w:name="_Toc6174"/>
      <w:r>
        <w:rPr>
          <w:rFonts w:ascii="Times New Roman" w:eastAsia="楷体_GB2312" w:hAnsi="Times New Roman" w:cs="Times New Roman" w:hint="eastAsia"/>
          <w:sz w:val="32"/>
          <w:szCs w:val="32"/>
        </w:rPr>
        <w:t>核心功能定位</w:t>
      </w:r>
      <w:bookmarkEnd w:id="284"/>
      <w:bookmarkEnd w:id="28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安全屏障。全面落实总体国家安全观，以维护“五大安全”为遵循推动高质量发展，推进强边固边、兴边富民，坚守永久基本农田红线，坚持保护优先，加强现代能源体系建设，打造数字丹东、智造强市，建成国家最大最美边境城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陆海门户。依托沿边沿海优势，推进丹东港综合性枢纽港口建设，强化全国区域性物流节点城市、陆上边境口岸型国家物流枢纽和辽宁沿海经济带黄海</w:t>
      </w:r>
      <w:proofErr w:type="gramStart"/>
      <w:r>
        <w:rPr>
          <w:rFonts w:ascii="Times New Roman" w:eastAsia="仿宋_GB2312" w:hAnsi="Times New Roman" w:cs="Times New Roman" w:hint="eastAsia"/>
          <w:sz w:val="32"/>
          <w:szCs w:val="32"/>
        </w:rPr>
        <w:t>翼</w:t>
      </w:r>
      <w:proofErr w:type="gramEnd"/>
      <w:r>
        <w:rPr>
          <w:rFonts w:ascii="Times New Roman" w:eastAsia="仿宋_GB2312" w:hAnsi="Times New Roman" w:cs="Times New Roman" w:hint="eastAsia"/>
          <w:sz w:val="32"/>
          <w:szCs w:val="32"/>
        </w:rPr>
        <w:t>中心城市的功能，成为东北亚地区对外开放新前沿。</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边贸中心。推进互市贸易创新发展区和综合保税区建设，建设辽宁丹东重点开发开放试验区、中朝跨境经济合作区等高能级开放平台，打造东北亚重要商贸集散地和生产加工基地。</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旅游胜地。充分挖掘红色历史、边境文化和民族风情等资源优势，形成以边境旅游为龙头，红色旅游、生态旅游、康养旅游、冰雪旅游、温泉旅游、乡村旅游等为支撑的多元旅游融合发展新格局，全力打造旅游名城。</w:t>
      </w:r>
    </w:p>
    <w:p w:rsidR="00A765C5" w:rsidRDefault="00702EF7" w:rsidP="006B5E5D">
      <w:pPr>
        <w:pStyle w:val="2"/>
        <w:numPr>
          <w:ilvl w:val="0"/>
          <w:numId w:val="4"/>
        </w:numPr>
        <w:snapToGrid w:val="0"/>
        <w:spacing w:beforeLines="50" w:before="156" w:afterLines="50" w:after="156" w:line="600" w:lineRule="exact"/>
        <w:jc w:val="center"/>
        <w:rPr>
          <w:rFonts w:ascii="Times New Roman" w:eastAsia="黑体" w:hAnsi="Times New Roman"/>
          <w:b w:val="0"/>
          <w:bCs w:val="0"/>
          <w:sz w:val="32"/>
        </w:rPr>
      </w:pPr>
      <w:bookmarkStart w:id="286" w:name="_Toc19341"/>
      <w:bookmarkStart w:id="287" w:name="_Toc22895"/>
      <w:bookmarkEnd w:id="278"/>
      <w:bookmarkEnd w:id="279"/>
      <w:bookmarkEnd w:id="280"/>
      <w:bookmarkEnd w:id="281"/>
      <w:bookmarkEnd w:id="282"/>
      <w:bookmarkEnd w:id="283"/>
      <w:r>
        <w:rPr>
          <w:rFonts w:ascii="Times New Roman" w:eastAsia="黑体" w:hAnsi="Times New Roman" w:hint="eastAsia"/>
          <w:b w:val="0"/>
          <w:bCs w:val="0"/>
          <w:sz w:val="32"/>
        </w:rPr>
        <w:t>目标</w:t>
      </w:r>
      <w:bookmarkEnd w:id="264"/>
      <w:bookmarkEnd w:id="265"/>
      <w:bookmarkEnd w:id="266"/>
      <w:r>
        <w:rPr>
          <w:rFonts w:ascii="Times New Roman" w:eastAsia="黑体" w:hAnsi="Times New Roman" w:hint="eastAsia"/>
          <w:b w:val="0"/>
          <w:bCs w:val="0"/>
          <w:sz w:val="32"/>
        </w:rPr>
        <w:t>愿景</w:t>
      </w:r>
      <w:bookmarkEnd w:id="286"/>
      <w:bookmarkEnd w:id="287"/>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88" w:name="_Toc3834"/>
      <w:bookmarkStart w:id="289" w:name="_Toc5995"/>
      <w:bookmarkStart w:id="290" w:name="_Toc13281"/>
      <w:bookmarkStart w:id="291" w:name="_Toc15205"/>
      <w:bookmarkStart w:id="292" w:name="_Toc16586"/>
      <w:bookmarkStart w:id="293" w:name="_Toc14267"/>
      <w:bookmarkStart w:id="294" w:name="_Toc12239"/>
      <w:bookmarkStart w:id="295" w:name="_Toc32258"/>
      <w:r>
        <w:rPr>
          <w:rFonts w:ascii="Times New Roman" w:eastAsia="楷体_GB2312" w:hAnsi="Times New Roman" w:cs="Times New Roman" w:hint="eastAsia"/>
          <w:sz w:val="32"/>
          <w:szCs w:val="32"/>
        </w:rPr>
        <w:t>总体</w:t>
      </w:r>
      <w:bookmarkEnd w:id="288"/>
      <w:r>
        <w:rPr>
          <w:rFonts w:ascii="Times New Roman" w:eastAsia="楷体_GB2312" w:hAnsi="Times New Roman" w:cs="Times New Roman" w:hint="eastAsia"/>
          <w:sz w:val="32"/>
          <w:szCs w:val="32"/>
        </w:rPr>
        <w:t>目标</w:t>
      </w:r>
      <w:bookmarkEnd w:id="289"/>
      <w:bookmarkEnd w:id="290"/>
      <w:bookmarkEnd w:id="291"/>
      <w:bookmarkEnd w:id="292"/>
      <w:bookmarkEnd w:id="293"/>
      <w:bookmarkEnd w:id="294"/>
      <w:bookmarkEnd w:id="29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到</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年，绿色生产生活方式基本形成，生态环境更</w:t>
      </w:r>
      <w:r>
        <w:rPr>
          <w:rFonts w:ascii="Times New Roman" w:eastAsia="仿宋_GB2312" w:hAnsi="Times New Roman" w:cs="Times New Roman" w:hint="eastAsia"/>
          <w:sz w:val="32"/>
          <w:szCs w:val="32"/>
        </w:rPr>
        <w:lastRenderedPageBreak/>
        <w:t>加良好，人与自然和谐共生，基本建成安全、绿色、开放、协调、宜居、富有竞争力的美丽国土。</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到</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国土空间主体功能日益明显，人民生活更加幸福，人的全面发展、全体人民共同富裕达到新水平，全面形成生态环境美、绿色发展优、开放活力足、创新能力强、营商环境好、幸福指数高的全面振兴、全方位振兴新局面，建设成为在东北亚地区有影响的国际化水平的开放型城市，数字化、智能化发展的创新型城市，绿色发展、美丽文明的</w:t>
      </w:r>
      <w:proofErr w:type="gramStart"/>
      <w:r>
        <w:rPr>
          <w:rFonts w:ascii="Times New Roman" w:eastAsia="仿宋_GB2312" w:hAnsi="Times New Roman" w:cs="Times New Roman" w:hint="eastAsia"/>
          <w:sz w:val="32"/>
          <w:szCs w:val="32"/>
        </w:rPr>
        <w:t>幸福宜</w:t>
      </w:r>
      <w:proofErr w:type="gramEnd"/>
      <w:r>
        <w:rPr>
          <w:rFonts w:ascii="Times New Roman" w:eastAsia="仿宋_GB2312" w:hAnsi="Times New Roman" w:cs="Times New Roman" w:hint="eastAsia"/>
          <w:sz w:val="32"/>
          <w:szCs w:val="32"/>
        </w:rPr>
        <w:t>居城市。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展望到</w:t>
      </w:r>
      <w:r>
        <w:rPr>
          <w:rFonts w:ascii="Times New Roman" w:eastAsia="仿宋_GB2312" w:hAnsi="Times New Roman" w:cs="Times New Roman" w:hint="eastAsia"/>
          <w:sz w:val="32"/>
          <w:szCs w:val="32"/>
        </w:rPr>
        <w:t>2050</w:t>
      </w:r>
      <w:r>
        <w:rPr>
          <w:rFonts w:ascii="Times New Roman" w:eastAsia="仿宋_GB2312" w:hAnsi="Times New Roman" w:cs="Times New Roman" w:hint="eastAsia"/>
          <w:sz w:val="32"/>
          <w:szCs w:val="32"/>
        </w:rPr>
        <w:t>年，国土空间开发保护更加协调，资源利用更有效率，粮食安全更有保障，生态屏障更加巩固，城镇空间更具活力，基本公共服务更加健全，城乡风貌更具魅力，全面形成能够支撑丹东市实现社会主义现代化的安全和谐、富有竞争力和可持续发展的国土空间格局。</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96" w:name="_Toc24929"/>
      <w:bookmarkStart w:id="297" w:name="_Toc1767"/>
      <w:bookmarkStart w:id="298" w:name="_Toc13577"/>
      <w:bookmarkStart w:id="299" w:name="_Toc26212"/>
      <w:bookmarkStart w:id="300" w:name="_Toc10792"/>
      <w:bookmarkStart w:id="301" w:name="_Toc4102"/>
      <w:bookmarkStart w:id="302" w:name="_Toc24745"/>
      <w:bookmarkStart w:id="303" w:name="_Toc26805"/>
      <w:bookmarkStart w:id="304" w:name="_Toc13332"/>
      <w:r>
        <w:rPr>
          <w:rFonts w:ascii="Times New Roman" w:eastAsia="楷体_GB2312" w:hAnsi="Times New Roman" w:cs="Times New Roman" w:hint="eastAsia"/>
          <w:sz w:val="32"/>
          <w:szCs w:val="32"/>
        </w:rPr>
        <w:t>具体目标</w:t>
      </w:r>
      <w:bookmarkEnd w:id="296"/>
      <w:bookmarkEnd w:id="297"/>
      <w:bookmarkEnd w:id="298"/>
      <w:bookmarkEnd w:id="299"/>
      <w:bookmarkEnd w:id="300"/>
      <w:bookmarkEnd w:id="301"/>
      <w:bookmarkEnd w:id="302"/>
      <w:bookmarkEnd w:id="303"/>
      <w:bookmarkEnd w:id="304"/>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305" w:name="_Toc27746"/>
      <w:r>
        <w:rPr>
          <w:rFonts w:ascii="Times New Roman" w:eastAsia="仿宋_GB2312" w:hAnsi="Times New Roman" w:cs="Times New Roman" w:hint="eastAsia"/>
          <w:sz w:val="32"/>
          <w:szCs w:val="32"/>
        </w:rPr>
        <w:t>国土空间格局</w:t>
      </w:r>
      <w:bookmarkEnd w:id="305"/>
      <w:r>
        <w:rPr>
          <w:rFonts w:ascii="Times New Roman" w:eastAsia="仿宋_GB2312" w:hAnsi="Times New Roman" w:cs="Times New Roman" w:hint="eastAsia"/>
          <w:sz w:val="32"/>
          <w:szCs w:val="32"/>
        </w:rPr>
        <w:t>不断优化。主体功能区布局进一步完善，主体功能定位更加精准，区域发展更加协同；国土空间保护更加有效，耕地和永久基本农田、生态保护红线、城镇开发边界三条控制线得到有效管控，陆海生态系统稳定性和生态功能持续强化，以自然保护区、自然公园为主体的自然保护地体系全面建成；</w:t>
      </w:r>
      <w:bookmarkStart w:id="306" w:name="_Toc16291"/>
      <w:r>
        <w:rPr>
          <w:rFonts w:ascii="Times New Roman" w:eastAsia="仿宋_GB2312" w:hAnsi="Times New Roman" w:cs="Times New Roman" w:hint="eastAsia"/>
          <w:sz w:val="32"/>
          <w:szCs w:val="32"/>
        </w:rPr>
        <w:t>国土空间开发</w:t>
      </w:r>
      <w:bookmarkEnd w:id="306"/>
      <w:r>
        <w:rPr>
          <w:rFonts w:ascii="Times New Roman" w:eastAsia="仿宋_GB2312" w:hAnsi="Times New Roman" w:cs="Times New Roman" w:hint="eastAsia"/>
          <w:sz w:val="32"/>
          <w:szCs w:val="32"/>
        </w:rPr>
        <w:t>更有效率，丹东都市区、绿色发展区、蓝色发展区的区域协同发展水平不断提高，</w:t>
      </w:r>
      <w:proofErr w:type="gramStart"/>
      <w:r>
        <w:rPr>
          <w:rFonts w:ascii="Times New Roman" w:eastAsia="仿宋_GB2312" w:hAnsi="Times New Roman" w:cs="Times New Roman" w:hint="eastAsia"/>
          <w:sz w:val="32"/>
          <w:szCs w:val="32"/>
        </w:rPr>
        <w:t>港产</w:t>
      </w:r>
      <w:r>
        <w:rPr>
          <w:rFonts w:ascii="Times New Roman" w:eastAsia="仿宋_GB2312" w:hAnsi="Times New Roman" w:cs="Times New Roman" w:hint="eastAsia"/>
          <w:sz w:val="32"/>
          <w:szCs w:val="32"/>
        </w:rPr>
        <w:lastRenderedPageBreak/>
        <w:t>城一体化</w:t>
      </w:r>
      <w:proofErr w:type="gramEnd"/>
      <w:r>
        <w:rPr>
          <w:rFonts w:ascii="Times New Roman" w:eastAsia="仿宋_GB2312" w:hAnsi="Times New Roman" w:cs="Times New Roman" w:hint="eastAsia"/>
          <w:sz w:val="32"/>
          <w:szCs w:val="32"/>
        </w:rPr>
        <w:t>程度持续增强，人口集疏科学有序，边境地区城镇功能布局更加完善，全方位对外开放格局和多中心、网络化、集约型、开放式的国土开发格局基本形式。</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307" w:name="_Toc2307"/>
      <w:r>
        <w:rPr>
          <w:rFonts w:ascii="Times New Roman" w:eastAsia="仿宋_GB2312" w:hAnsi="Times New Roman" w:cs="Times New Roman" w:hint="eastAsia"/>
          <w:sz w:val="32"/>
          <w:szCs w:val="32"/>
        </w:rPr>
        <w:t>资源利用更加集约高效</w:t>
      </w:r>
      <w:bookmarkEnd w:id="307"/>
      <w:r>
        <w:rPr>
          <w:rFonts w:ascii="Times New Roman" w:eastAsia="仿宋_GB2312" w:hAnsi="Times New Roman" w:cs="Times New Roman" w:hint="eastAsia"/>
          <w:sz w:val="32"/>
          <w:szCs w:val="32"/>
        </w:rPr>
        <w:t>。用水总量和效率得到严格控制，建设用地结构和矿产资源开采总量更趋合理，能源体系更加清洁低碳，单位生产总值能耗和用水量、用地量明显下降，海岛、海域、岸线利用方式实现生态化转变。农牧业生产格局、方式与水土光热资源条件更加契合。资源节约集约利用水平提高，基本建成集约绿色、低碳循环的资源利用体系。</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土空间品质明显提升。新型城镇化建设进程加快，乡村振兴战略深入实施，城镇和村庄布局体系更加合理，基本公共服务均等化水平明显提高，自然景观和人文魅力逐步彰显。城市功能、空间品质和人居环境逐步提升，民生短板逐渐补齐，城市交通运输和基础设施网络实现高效运转，服务业加快发展，人民群众获得感、幸福感、安全感显著提高。</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308" w:name="_Toc21525"/>
      <w:r>
        <w:rPr>
          <w:rFonts w:ascii="Times New Roman" w:eastAsia="仿宋_GB2312" w:hAnsi="Times New Roman" w:cs="Times New Roman" w:hint="eastAsia"/>
          <w:sz w:val="32"/>
          <w:szCs w:val="32"/>
        </w:rPr>
        <w:t>国土空间治理体系逐步完善</w:t>
      </w:r>
      <w:bookmarkEnd w:id="308"/>
      <w:r>
        <w:rPr>
          <w:rFonts w:ascii="Times New Roman" w:eastAsia="仿宋_GB2312" w:hAnsi="Times New Roman" w:cs="Times New Roman" w:hint="eastAsia"/>
          <w:sz w:val="32"/>
          <w:szCs w:val="32"/>
        </w:rPr>
        <w:t>。国土空间规划编制审批体系、实施监督体系、法规政策体系、技术标准体系全面建立，由国土空间规划、用途管制和生态文明绩效考核等构成的国土空间治理体系更加健全，基本实现以国土空间规划为基础，以统一用途管制为手段的国土空间开发保护制度。边海防更加安全稳定，突发公共事件应急能力显著增强，发展安全保障更加有力。</w:t>
      </w:r>
    </w:p>
    <w:p w:rsidR="00A765C5" w:rsidRDefault="00702EF7" w:rsidP="006B5E5D">
      <w:pPr>
        <w:pStyle w:val="2"/>
        <w:numPr>
          <w:ilvl w:val="0"/>
          <w:numId w:val="4"/>
        </w:numPr>
        <w:snapToGrid w:val="0"/>
        <w:spacing w:beforeLines="50" w:before="156" w:afterLines="50" w:after="156" w:line="600" w:lineRule="exact"/>
        <w:jc w:val="center"/>
        <w:rPr>
          <w:rFonts w:ascii="Times New Roman" w:eastAsia="黑体" w:hAnsi="Times New Roman"/>
          <w:b w:val="0"/>
          <w:bCs w:val="0"/>
          <w:sz w:val="32"/>
        </w:rPr>
      </w:pPr>
      <w:bookmarkStart w:id="309" w:name="_Toc17991"/>
      <w:bookmarkStart w:id="310" w:name="_Toc20041"/>
      <w:bookmarkStart w:id="311" w:name="_Toc6754"/>
      <w:bookmarkStart w:id="312" w:name="_Toc26339"/>
      <w:bookmarkStart w:id="313" w:name="_Toc31320"/>
      <w:bookmarkStart w:id="314" w:name="_Toc6505"/>
      <w:bookmarkStart w:id="315" w:name="_Toc3921"/>
      <w:bookmarkStart w:id="316" w:name="_Toc10170"/>
      <w:bookmarkStart w:id="317" w:name="_Toc26720"/>
      <w:bookmarkStart w:id="318" w:name="_Toc12113"/>
      <w:r>
        <w:rPr>
          <w:rFonts w:ascii="Times New Roman" w:eastAsia="黑体" w:hAnsi="Times New Roman" w:hint="eastAsia"/>
          <w:b w:val="0"/>
          <w:bCs w:val="0"/>
          <w:sz w:val="32"/>
        </w:rPr>
        <w:lastRenderedPageBreak/>
        <w:t>国土空间开发保护战略</w:t>
      </w:r>
      <w:bookmarkEnd w:id="309"/>
      <w:bookmarkEnd w:id="310"/>
      <w:bookmarkEnd w:id="311"/>
      <w:bookmarkEnd w:id="312"/>
      <w:bookmarkEnd w:id="313"/>
      <w:bookmarkEnd w:id="314"/>
      <w:bookmarkEnd w:id="315"/>
      <w:bookmarkEnd w:id="316"/>
      <w:bookmarkEnd w:id="317"/>
      <w:bookmarkEnd w:id="318"/>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319" w:name="_Toc14327"/>
      <w:bookmarkStart w:id="320" w:name="_Toc4298"/>
      <w:bookmarkStart w:id="321" w:name="_Toc17822"/>
      <w:bookmarkStart w:id="322" w:name="_Toc7482"/>
      <w:bookmarkStart w:id="323" w:name="_Toc2664"/>
      <w:bookmarkStart w:id="324" w:name="_Toc19190"/>
      <w:bookmarkStart w:id="325" w:name="_Toc2085"/>
      <w:bookmarkStart w:id="326" w:name="_Toc28036"/>
      <w:r>
        <w:rPr>
          <w:rFonts w:ascii="Times New Roman" w:eastAsia="楷体_GB2312" w:hAnsi="Times New Roman" w:cs="Times New Roman" w:hint="eastAsia"/>
          <w:sz w:val="32"/>
          <w:szCs w:val="32"/>
        </w:rPr>
        <w:t>底线管控战略</w:t>
      </w:r>
      <w:bookmarkEnd w:id="319"/>
      <w:bookmarkEnd w:id="320"/>
      <w:bookmarkEnd w:id="321"/>
      <w:bookmarkEnd w:id="322"/>
      <w:bookmarkEnd w:id="323"/>
      <w:bookmarkEnd w:id="324"/>
      <w:bookmarkEnd w:id="325"/>
      <w:bookmarkEnd w:id="32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落实省级国土空间规划确定的边境地区管理要求，保障振兴区、振安区、元宝区、东港市、宽甸满族自治县稳定发展和国土安全，</w:t>
      </w:r>
      <w:proofErr w:type="gramStart"/>
      <w:r>
        <w:rPr>
          <w:rFonts w:ascii="Times New Roman" w:eastAsia="仿宋_GB2312" w:hAnsi="Times New Roman" w:cs="Times New Roman" w:hint="eastAsia"/>
          <w:sz w:val="32"/>
          <w:szCs w:val="32"/>
        </w:rPr>
        <w:t>稳定振</w:t>
      </w:r>
      <w:proofErr w:type="gramEnd"/>
      <w:r>
        <w:rPr>
          <w:rFonts w:ascii="Times New Roman" w:eastAsia="仿宋_GB2312" w:hAnsi="Times New Roman" w:cs="Times New Roman" w:hint="eastAsia"/>
          <w:sz w:val="32"/>
          <w:szCs w:val="32"/>
        </w:rPr>
        <w:t>江镇、长</w:t>
      </w:r>
      <w:proofErr w:type="gramStart"/>
      <w:r>
        <w:rPr>
          <w:rFonts w:ascii="Times New Roman" w:eastAsia="仿宋_GB2312" w:hAnsi="Times New Roman" w:cs="Times New Roman" w:hint="eastAsia"/>
          <w:sz w:val="32"/>
          <w:szCs w:val="32"/>
        </w:rPr>
        <w:t>甸</w:t>
      </w:r>
      <w:proofErr w:type="gramEnd"/>
      <w:r>
        <w:rPr>
          <w:rFonts w:ascii="Times New Roman" w:eastAsia="仿宋_GB2312" w:hAnsi="Times New Roman" w:cs="Times New Roman" w:hint="eastAsia"/>
          <w:sz w:val="32"/>
          <w:szCs w:val="32"/>
        </w:rPr>
        <w:t>镇、九连城镇等边境城镇人口规模，维护国家国防安全。落实辽东林业和特色农业片区、沿海果蔬水产农业带建设要求，加强高标准农田建设和</w:t>
      </w:r>
      <w:proofErr w:type="gramStart"/>
      <w:r>
        <w:rPr>
          <w:rFonts w:ascii="Times New Roman" w:eastAsia="仿宋_GB2312" w:hAnsi="Times New Roman" w:cs="Times New Roman" w:hint="eastAsia"/>
          <w:sz w:val="32"/>
          <w:szCs w:val="32"/>
        </w:rPr>
        <w:t>凤城市</w:t>
      </w:r>
      <w:proofErr w:type="gramEnd"/>
      <w:r>
        <w:rPr>
          <w:rFonts w:ascii="Times New Roman" w:eastAsia="仿宋_GB2312" w:hAnsi="Times New Roman" w:cs="Times New Roman" w:hint="eastAsia"/>
          <w:sz w:val="32"/>
          <w:szCs w:val="32"/>
        </w:rPr>
        <w:t>、宽甸满族自治县黑土地保护，保障粮食生产空间，维护国家粮食安全。落实东北森林带和辽东绿色经济区建设要求，加强鸭绿江、浑江等水生态保护修复，推进宽甸蒲石河等湿地保护项目建设，维护国家生态安全。加强现代能源体系建设，落实庄河</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丹东天然气管道等油气项目，优化形成煤、油、气和可再生能源多轮驱动、协调发展的能源供应体系，提高能源安全保障水平。保障新兴产业和科技创新平台发展空间，以科技创新为引领，优化产业空间布局。</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327" w:name="_Toc22919"/>
      <w:bookmarkStart w:id="328" w:name="_Toc11383"/>
      <w:bookmarkStart w:id="329" w:name="_Toc29486"/>
      <w:bookmarkStart w:id="330" w:name="_Toc13260"/>
      <w:bookmarkStart w:id="331" w:name="_Toc1558"/>
      <w:bookmarkStart w:id="332" w:name="_Toc30405"/>
      <w:bookmarkStart w:id="333" w:name="_Toc543"/>
      <w:bookmarkStart w:id="334" w:name="_Toc16476"/>
      <w:r>
        <w:rPr>
          <w:rFonts w:ascii="Times New Roman" w:eastAsia="楷体_GB2312" w:hAnsi="Times New Roman" w:cs="Times New Roman" w:hint="eastAsia"/>
          <w:sz w:val="32"/>
          <w:szCs w:val="32"/>
        </w:rPr>
        <w:t>开放带动战略</w:t>
      </w:r>
      <w:bookmarkEnd w:id="327"/>
      <w:bookmarkEnd w:id="328"/>
      <w:bookmarkEnd w:id="329"/>
      <w:bookmarkEnd w:id="330"/>
      <w:bookmarkEnd w:id="331"/>
      <w:bookmarkEnd w:id="332"/>
      <w:bookmarkEnd w:id="333"/>
      <w:bookmarkEnd w:id="33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主动融入国家“一带一路”建设开放格局和辽宁“一圈一带两区”区域发展格局，落实沿边开发开放等国家战略，深入对接吉林向南发展战略，加快推进“长白通丹”区域发展一体化进程。积极融入东北海陆大通道建设，强化出海大通道和物流枢纽功能。加快推进中朝贸易集散地和转运中心建设，打造朝鲜半岛贸易运输物流通道，积极创建海铁联运</w:t>
      </w:r>
      <w:r>
        <w:rPr>
          <w:rFonts w:ascii="Times New Roman" w:eastAsia="仿宋_GB2312" w:hAnsi="Times New Roman" w:cs="Times New Roman" w:hint="eastAsia"/>
          <w:sz w:val="32"/>
          <w:szCs w:val="32"/>
        </w:rPr>
        <w:lastRenderedPageBreak/>
        <w:t>新模式。高水平建设丹东沿边开发开放试验区等引领辽宁省开放创新发展的对外开放平台，推进丹东国家物流枢纽及口岸设施建设。加强与扬州对口合作，探索与京津冀、长江经济带、粤港澳大湾区、长三角等地区的交流。</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335" w:name="_Toc21703"/>
      <w:bookmarkStart w:id="336" w:name="_Toc29433"/>
      <w:bookmarkStart w:id="337" w:name="_Toc25671"/>
      <w:bookmarkStart w:id="338" w:name="_Toc7622"/>
      <w:bookmarkStart w:id="339" w:name="_Toc438"/>
      <w:bookmarkStart w:id="340" w:name="_Toc19918"/>
      <w:bookmarkStart w:id="341" w:name="_Toc26636"/>
      <w:bookmarkStart w:id="342" w:name="_Toc4581"/>
      <w:r>
        <w:rPr>
          <w:rFonts w:ascii="Times New Roman" w:eastAsia="楷体_GB2312" w:hAnsi="Times New Roman" w:cs="Times New Roman" w:hint="eastAsia"/>
          <w:sz w:val="32"/>
          <w:szCs w:val="32"/>
        </w:rPr>
        <w:t>陆海联动战略</w:t>
      </w:r>
      <w:bookmarkEnd w:id="335"/>
      <w:bookmarkEnd w:id="336"/>
      <w:bookmarkEnd w:id="337"/>
      <w:bookmarkEnd w:id="338"/>
      <w:bookmarkEnd w:id="339"/>
      <w:bookmarkEnd w:id="340"/>
      <w:bookmarkEnd w:id="341"/>
      <w:bookmarkEnd w:id="342"/>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统筹陆海空</w:t>
      </w:r>
      <w:proofErr w:type="gramStart"/>
      <w:r>
        <w:rPr>
          <w:rFonts w:ascii="Times New Roman" w:eastAsia="仿宋_GB2312" w:hAnsi="Times New Roman" w:cs="Times New Roman" w:hint="eastAsia"/>
          <w:sz w:val="32"/>
          <w:szCs w:val="32"/>
        </w:rPr>
        <w:t>间保护</w:t>
      </w:r>
      <w:proofErr w:type="gramEnd"/>
      <w:r>
        <w:rPr>
          <w:rFonts w:ascii="Times New Roman" w:eastAsia="仿宋_GB2312" w:hAnsi="Times New Roman" w:cs="Times New Roman" w:hint="eastAsia"/>
          <w:sz w:val="32"/>
          <w:szCs w:val="32"/>
        </w:rPr>
        <w:t>开发，推动要素一体化协同治理，打造具有全球影响的海</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陆</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江河生态文明融合发展示范区。统筹生态环境保护，重点保护丹东市特有的全球重要的滨海湿地生态功能区，全面推进岸线、滩涂、海岛、海域环境综合整治和生态修复，完善海洋污染和海洋灾害防治机制。统筹开发利用格局，推进辽宁沿海经济带“黄海翼”建设，加强港</w:t>
      </w:r>
      <w:proofErr w:type="gramStart"/>
      <w:r>
        <w:rPr>
          <w:rFonts w:ascii="Times New Roman" w:eastAsia="仿宋_GB2312" w:hAnsi="Times New Roman" w:cs="Times New Roman" w:hint="eastAsia"/>
          <w:sz w:val="32"/>
          <w:szCs w:val="32"/>
        </w:rPr>
        <w:t>产城融合</w:t>
      </w:r>
      <w:proofErr w:type="gramEnd"/>
      <w:r>
        <w:rPr>
          <w:rFonts w:ascii="Times New Roman" w:eastAsia="仿宋_GB2312" w:hAnsi="Times New Roman" w:cs="Times New Roman" w:hint="eastAsia"/>
          <w:sz w:val="32"/>
          <w:szCs w:val="32"/>
        </w:rPr>
        <w:t>发展和港口集疏运体系建设，以东北铁路网、高速公路网为依托，延伸港口腹地，推进陆港联运、江海联运等多式联运发展，支持开展内贸货物跨境运输，强化丹东港在东北亚地区的枢纽作用。</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343" w:name="_Toc1280"/>
      <w:bookmarkStart w:id="344" w:name="_Toc30129"/>
      <w:bookmarkStart w:id="345" w:name="_Toc2278"/>
      <w:bookmarkStart w:id="346" w:name="_Toc15725"/>
      <w:bookmarkStart w:id="347" w:name="_Toc19474"/>
      <w:bookmarkStart w:id="348" w:name="_Toc9425"/>
      <w:bookmarkStart w:id="349" w:name="_Toc10050"/>
      <w:bookmarkStart w:id="350" w:name="_Toc9174"/>
      <w:r>
        <w:rPr>
          <w:rFonts w:ascii="Times New Roman" w:eastAsia="楷体_GB2312" w:hAnsi="Times New Roman" w:cs="Times New Roman" w:hint="eastAsia"/>
          <w:sz w:val="32"/>
          <w:szCs w:val="32"/>
        </w:rPr>
        <w:t>绿色高效战略</w:t>
      </w:r>
      <w:bookmarkEnd w:id="343"/>
      <w:bookmarkEnd w:id="344"/>
      <w:bookmarkEnd w:id="345"/>
      <w:bookmarkEnd w:id="346"/>
      <w:bookmarkEnd w:id="347"/>
      <w:bookmarkEnd w:id="348"/>
      <w:bookmarkEnd w:id="349"/>
      <w:bookmarkEnd w:id="35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以辽东绿色经济区建设为依托，以“全国水生态文明建设示范市”和“中国气候宜居市”为引领，加快推动丹东市绿色化发展。加强鸭绿江、大洋河、爱河、蒲石河、浑江流域水生态环境治理，强化宽甸国家级和凤城省级重点生态功能区建设。大力发展绿色低碳能源，保障风电、抽水蓄能电站、生物质热电联产等项目空间需求。加强水源涵养地建设</w:t>
      </w:r>
      <w:r>
        <w:rPr>
          <w:rFonts w:ascii="Times New Roman" w:eastAsia="仿宋_GB2312" w:hAnsi="Times New Roman" w:cs="Times New Roman" w:hint="eastAsia"/>
          <w:sz w:val="32"/>
          <w:szCs w:val="32"/>
        </w:rPr>
        <w:lastRenderedPageBreak/>
        <w:t>与保护，实施大型灌区及重点中型灌区续建配套与节水改造工程，提高用水效率。坚持最严格的节约用地制度，提高土地利用集约度。加快推进绿色矿山建设，加强凤城金矿、宽甸尾矿库治理。有效控制碳排放，全面推行清洁生产。探索建立生态产品价值实现机制，完善市场化、多元化生态补偿机制，推进排污权、用能权、</w:t>
      </w:r>
      <w:proofErr w:type="gramStart"/>
      <w:r>
        <w:rPr>
          <w:rFonts w:ascii="Times New Roman" w:eastAsia="仿宋_GB2312" w:hAnsi="Times New Roman" w:cs="Times New Roman" w:hint="eastAsia"/>
          <w:sz w:val="32"/>
          <w:szCs w:val="32"/>
        </w:rPr>
        <w:t>碳排放权</w:t>
      </w:r>
      <w:proofErr w:type="gramEnd"/>
      <w:r>
        <w:rPr>
          <w:rFonts w:ascii="Times New Roman" w:eastAsia="仿宋_GB2312" w:hAnsi="Times New Roman" w:cs="Times New Roman" w:hint="eastAsia"/>
          <w:sz w:val="32"/>
          <w:szCs w:val="32"/>
        </w:rPr>
        <w:t>市场化交易。</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351" w:name="_Toc16898"/>
      <w:bookmarkStart w:id="352" w:name="_Toc8609"/>
      <w:bookmarkStart w:id="353" w:name="_Toc25302"/>
      <w:bookmarkStart w:id="354" w:name="_Toc12533"/>
      <w:bookmarkStart w:id="355" w:name="_Toc17829"/>
      <w:bookmarkStart w:id="356" w:name="_Toc23469"/>
      <w:bookmarkStart w:id="357" w:name="_Toc12748"/>
      <w:bookmarkStart w:id="358" w:name="_Toc20140"/>
      <w:r>
        <w:rPr>
          <w:rFonts w:ascii="Times New Roman" w:eastAsia="楷体_GB2312" w:hAnsi="Times New Roman" w:cs="Times New Roman" w:hint="eastAsia"/>
          <w:sz w:val="32"/>
          <w:szCs w:val="32"/>
        </w:rPr>
        <w:t>特色彰显战略</w:t>
      </w:r>
      <w:bookmarkEnd w:id="351"/>
      <w:bookmarkEnd w:id="352"/>
      <w:bookmarkEnd w:id="353"/>
      <w:bookmarkEnd w:id="354"/>
      <w:bookmarkEnd w:id="355"/>
      <w:bookmarkEnd w:id="356"/>
      <w:bookmarkEnd w:id="357"/>
      <w:bookmarkEnd w:id="358"/>
    </w:p>
    <w:p w:rsidR="00A765C5" w:rsidRDefault="00702EF7">
      <w:pPr>
        <w:snapToGrid w:val="0"/>
        <w:spacing w:line="600" w:lineRule="exact"/>
        <w:ind w:firstLineChars="200" w:firstLine="640"/>
        <w:rPr>
          <w:rFonts w:ascii="Times New Roman" w:eastAsia="仿宋_GB2312" w:hAnsi="Times New Roman" w:cs="Times New Roman"/>
          <w:sz w:val="32"/>
          <w:szCs w:val="32"/>
        </w:rPr>
        <w:sectPr w:rsidR="00A765C5">
          <w:pgSz w:w="11850" w:h="16783"/>
          <w:pgMar w:top="1440" w:right="1800" w:bottom="1440" w:left="1800" w:header="720" w:footer="720" w:gutter="0"/>
          <w:cols w:space="720"/>
          <w:docGrid w:type="lines" w:linePitch="312"/>
        </w:sectPr>
      </w:pPr>
      <w:r>
        <w:rPr>
          <w:rFonts w:ascii="Times New Roman" w:eastAsia="仿宋_GB2312" w:hAnsi="Times New Roman" w:cs="Times New Roman" w:hint="eastAsia"/>
          <w:sz w:val="32"/>
          <w:szCs w:val="32"/>
        </w:rPr>
        <w:t>落实省级国土空间规划确定的“国门边境、绿水青山”自然景观与历史文化资源富集区，高水平建设区域自然人文网络，彰显丹东市国土空间魅力。突出界河、长城文化、抗美援朝等主题特色，塑造滨江特色景观，将鸭绿江打造成为文化魅力源、休闲活力源、生态动力源。推动凤凰山、天桥</w:t>
      </w:r>
      <w:proofErr w:type="gramStart"/>
      <w:r>
        <w:rPr>
          <w:rFonts w:ascii="Times New Roman" w:eastAsia="仿宋_GB2312" w:hAnsi="Times New Roman" w:cs="Times New Roman" w:hint="eastAsia"/>
          <w:sz w:val="32"/>
          <w:szCs w:val="32"/>
        </w:rPr>
        <w:t>沟申创</w:t>
      </w:r>
      <w:proofErr w:type="gramEnd"/>
      <w:r>
        <w:rPr>
          <w:rFonts w:ascii="Times New Roman" w:eastAsia="仿宋_GB2312" w:hAnsi="Times New Roman" w:cs="Times New Roman" w:hint="eastAsia"/>
          <w:sz w:val="32"/>
          <w:szCs w:val="32"/>
        </w:rPr>
        <w:t>AAAAA</w:t>
      </w:r>
      <w:r>
        <w:rPr>
          <w:rFonts w:ascii="Times New Roman" w:eastAsia="仿宋_GB2312" w:hAnsi="Times New Roman" w:cs="Times New Roman" w:hint="eastAsia"/>
          <w:sz w:val="32"/>
          <w:szCs w:val="32"/>
        </w:rPr>
        <w:t>级景区，推进东港、凤城、宽甸创建全国全域旅游示范区，支持丹东市申报省级历史文化名城，提升旅游配套设施建设水平，将丹东市打造成为省</w:t>
      </w:r>
      <w:proofErr w:type="gramStart"/>
      <w:r>
        <w:rPr>
          <w:rFonts w:ascii="Times New Roman" w:eastAsia="仿宋_GB2312" w:hAnsi="Times New Roman" w:cs="Times New Roman" w:hint="eastAsia"/>
          <w:sz w:val="32"/>
          <w:szCs w:val="32"/>
        </w:rPr>
        <w:t>域旅游</w:t>
      </w:r>
      <w:proofErr w:type="gramEnd"/>
      <w:r>
        <w:rPr>
          <w:rFonts w:ascii="Times New Roman" w:eastAsia="仿宋_GB2312" w:hAnsi="Times New Roman" w:cs="Times New Roman" w:hint="eastAsia"/>
          <w:sz w:val="32"/>
          <w:szCs w:val="32"/>
        </w:rPr>
        <w:t>二级支撑节点。实施城市更新行动，提升城市建设水平，改善居民生活环境。增强丹东市国际吸引力，塑造国门形象、中朝友谊形象，以展示大气、彰显秀气、透射灵气为目标，加快推进新型城镇化建设。打造乡村</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分钟公共服务圈，保护传统村落和乡村风貌，建设宜</w:t>
      </w:r>
      <w:proofErr w:type="gramStart"/>
      <w:r>
        <w:rPr>
          <w:rFonts w:ascii="Times New Roman" w:eastAsia="仿宋_GB2312" w:hAnsi="Times New Roman" w:cs="Times New Roman" w:hint="eastAsia"/>
          <w:sz w:val="32"/>
          <w:szCs w:val="32"/>
        </w:rPr>
        <w:t>居宜业</w:t>
      </w:r>
      <w:proofErr w:type="gramEnd"/>
      <w:r>
        <w:rPr>
          <w:rFonts w:ascii="Times New Roman" w:eastAsia="仿宋_GB2312" w:hAnsi="Times New Roman" w:cs="Times New Roman" w:hint="eastAsia"/>
          <w:sz w:val="32"/>
          <w:szCs w:val="32"/>
        </w:rPr>
        <w:t>和美乡村。</w:t>
      </w: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359" w:name="_Toc31747"/>
      <w:bookmarkStart w:id="360" w:name="_Toc14028"/>
      <w:bookmarkStart w:id="361" w:name="_Toc32223"/>
      <w:bookmarkStart w:id="362" w:name="_Toc18612"/>
      <w:bookmarkStart w:id="363" w:name="_Toc28933"/>
      <w:bookmarkStart w:id="364" w:name="_Toc16917"/>
      <w:bookmarkStart w:id="365" w:name="_Toc20326"/>
      <w:bookmarkStart w:id="366" w:name="_Toc21855"/>
      <w:bookmarkStart w:id="367" w:name="_Toc29464"/>
      <w:bookmarkStart w:id="368" w:name="_Toc18065"/>
      <w:bookmarkStart w:id="369" w:name="_Toc18417"/>
      <w:bookmarkEnd w:id="261"/>
      <w:r>
        <w:rPr>
          <w:rFonts w:ascii="Times New Roman" w:eastAsia="方正小标宋_GBK" w:hAnsi="Times New Roman" w:cs="Times New Roman" w:hint="eastAsia"/>
          <w:b w:val="0"/>
          <w:sz w:val="36"/>
          <w:szCs w:val="36"/>
        </w:rPr>
        <w:lastRenderedPageBreak/>
        <w:t>统筹划定“三区三线”，优化国土空间开发保护格局</w:t>
      </w:r>
      <w:bookmarkEnd w:id="359"/>
      <w:bookmarkEnd w:id="360"/>
      <w:bookmarkEnd w:id="361"/>
      <w:bookmarkEnd w:id="362"/>
      <w:bookmarkEnd w:id="363"/>
      <w:bookmarkEnd w:id="364"/>
      <w:bookmarkEnd w:id="365"/>
      <w:bookmarkEnd w:id="366"/>
      <w:bookmarkEnd w:id="367"/>
      <w:bookmarkEnd w:id="368"/>
      <w:bookmarkEnd w:id="369"/>
    </w:p>
    <w:p w:rsidR="00A765C5" w:rsidRDefault="00702EF7" w:rsidP="006B5E5D">
      <w:pPr>
        <w:pStyle w:val="2"/>
        <w:numPr>
          <w:ilvl w:val="0"/>
          <w:numId w:val="5"/>
        </w:numPr>
        <w:snapToGrid w:val="0"/>
        <w:spacing w:beforeLines="50" w:before="156" w:afterLines="50" w:after="156" w:line="600" w:lineRule="exact"/>
        <w:jc w:val="center"/>
        <w:rPr>
          <w:rFonts w:ascii="Times New Roman" w:eastAsia="黑体" w:hAnsi="Times New Roman"/>
          <w:b w:val="0"/>
          <w:bCs w:val="0"/>
          <w:sz w:val="32"/>
        </w:rPr>
      </w:pPr>
      <w:bookmarkStart w:id="370" w:name="_Toc20741"/>
      <w:bookmarkStart w:id="371" w:name="_Toc9586"/>
      <w:bookmarkStart w:id="372" w:name="_Toc3045"/>
      <w:bookmarkStart w:id="373" w:name="_Toc5827"/>
      <w:bookmarkStart w:id="374" w:name="_Toc600"/>
      <w:r>
        <w:rPr>
          <w:rFonts w:ascii="Times New Roman" w:eastAsia="黑体" w:hAnsi="Times New Roman" w:hint="eastAsia"/>
          <w:b w:val="0"/>
          <w:bCs w:val="0"/>
          <w:sz w:val="32"/>
        </w:rPr>
        <w:t>三条控制线划定与管控</w:t>
      </w:r>
      <w:bookmarkEnd w:id="370"/>
      <w:bookmarkEnd w:id="371"/>
      <w:bookmarkEnd w:id="372"/>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375" w:name="_Toc9362"/>
      <w:bookmarkStart w:id="376" w:name="_Toc8404"/>
      <w:bookmarkStart w:id="377" w:name="_Toc20645"/>
      <w:bookmarkStart w:id="378" w:name="_Toc9527"/>
      <w:bookmarkStart w:id="379" w:name="_Toc30959"/>
      <w:bookmarkStart w:id="380" w:name="_Toc19573"/>
      <w:bookmarkStart w:id="381" w:name="_Toc8036"/>
      <w:bookmarkStart w:id="382" w:name="_Toc417"/>
      <w:bookmarkStart w:id="383" w:name="_Toc14523"/>
      <w:r>
        <w:rPr>
          <w:rFonts w:ascii="Times New Roman" w:eastAsia="楷体_GB2312" w:hAnsi="Times New Roman" w:cs="Times New Roman" w:hint="eastAsia"/>
          <w:sz w:val="32"/>
          <w:szCs w:val="32"/>
        </w:rPr>
        <w:t>优先划定耕地和永久基本农田保护红线，保障粮食安全</w:t>
      </w:r>
      <w:bookmarkEnd w:id="375"/>
      <w:bookmarkEnd w:id="376"/>
      <w:bookmarkEnd w:id="377"/>
      <w:bookmarkEnd w:id="378"/>
      <w:bookmarkEnd w:id="379"/>
      <w:bookmarkEnd w:id="380"/>
      <w:bookmarkEnd w:id="381"/>
      <w:bookmarkEnd w:id="382"/>
      <w:bookmarkEnd w:id="38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落实耕地和永久基本农田保护任务，现状耕地应保尽保、应</w:t>
      </w:r>
      <w:proofErr w:type="gramStart"/>
      <w:r>
        <w:rPr>
          <w:rFonts w:ascii="Times New Roman" w:eastAsia="仿宋_GB2312" w:hAnsi="Times New Roman" w:cs="Times New Roman" w:hint="eastAsia"/>
          <w:sz w:val="32"/>
          <w:szCs w:val="32"/>
        </w:rPr>
        <w:t>划尽划</w:t>
      </w:r>
      <w:proofErr w:type="gramEnd"/>
      <w:r>
        <w:rPr>
          <w:rFonts w:ascii="Times New Roman" w:eastAsia="仿宋_GB2312" w:hAnsi="Times New Roman" w:cs="Times New Roman" w:hint="eastAsia"/>
          <w:sz w:val="32"/>
          <w:szCs w:val="32"/>
        </w:rPr>
        <w:t>，将符合条件的耕地全部纳入保护目标，将大面积、集中连片、已建成的高标准农田等长期稳定利用的耕地优先划入永久基本农田，规划期间，丹东市耕地保有量保持在</w:t>
      </w:r>
      <w:r>
        <w:rPr>
          <w:rFonts w:ascii="Times New Roman" w:eastAsia="仿宋_GB2312" w:hAnsi="Times New Roman" w:cs="Times New Roman" w:hint="eastAsia"/>
          <w:sz w:val="32"/>
          <w:szCs w:val="32"/>
        </w:rPr>
        <w:t>2387.65</w:t>
      </w:r>
      <w:r>
        <w:rPr>
          <w:rFonts w:ascii="Times New Roman" w:eastAsia="仿宋_GB2312" w:hAnsi="Times New Roman" w:cs="Times New Roman" w:hint="eastAsia"/>
          <w:sz w:val="32"/>
          <w:szCs w:val="32"/>
        </w:rPr>
        <w:t>平方千米（</w:t>
      </w:r>
      <w:r>
        <w:rPr>
          <w:rFonts w:ascii="Times New Roman" w:eastAsia="仿宋_GB2312" w:hAnsi="Times New Roman" w:cs="Times New Roman" w:hint="eastAsia"/>
          <w:sz w:val="32"/>
          <w:szCs w:val="32"/>
        </w:rPr>
        <w:t>358.15</w:t>
      </w:r>
      <w:r>
        <w:rPr>
          <w:rFonts w:ascii="Times New Roman" w:eastAsia="仿宋_GB2312" w:hAnsi="Times New Roman" w:cs="Times New Roman" w:hint="eastAsia"/>
          <w:sz w:val="32"/>
          <w:szCs w:val="32"/>
        </w:rPr>
        <w:t>万亩）以上，永久基本农田保护面积保持在</w:t>
      </w:r>
      <w:r>
        <w:rPr>
          <w:rFonts w:ascii="Times New Roman" w:eastAsia="仿宋_GB2312" w:hAnsi="Times New Roman" w:cs="Times New Roman" w:hint="eastAsia"/>
          <w:sz w:val="32"/>
          <w:szCs w:val="32"/>
        </w:rPr>
        <w:t>2092.67</w:t>
      </w:r>
      <w:r>
        <w:rPr>
          <w:rFonts w:ascii="Times New Roman" w:eastAsia="仿宋_GB2312" w:hAnsi="Times New Roman" w:cs="Times New Roman" w:hint="eastAsia"/>
          <w:sz w:val="32"/>
          <w:szCs w:val="32"/>
        </w:rPr>
        <w:t>平方千米（</w:t>
      </w:r>
      <w:r>
        <w:rPr>
          <w:rFonts w:ascii="Times New Roman" w:eastAsia="仿宋_GB2312" w:hAnsi="Times New Roman" w:cs="Times New Roman" w:hint="eastAsia"/>
          <w:sz w:val="32"/>
          <w:szCs w:val="32"/>
        </w:rPr>
        <w:t>313.90</w:t>
      </w:r>
      <w:r>
        <w:rPr>
          <w:rFonts w:ascii="Times New Roman" w:eastAsia="仿宋_GB2312" w:hAnsi="Times New Roman" w:cs="Times New Roman" w:hint="eastAsia"/>
          <w:sz w:val="32"/>
          <w:szCs w:val="32"/>
        </w:rPr>
        <w:t>万亩）以上，主要分布在南部沿海平原区、北部山地河谷区等区域，全部为可长期稳定利用耕地。</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严格管</w:t>
      </w:r>
      <w:proofErr w:type="gramStart"/>
      <w:r>
        <w:rPr>
          <w:rFonts w:ascii="Times New Roman" w:eastAsia="仿宋_GB2312" w:hAnsi="Times New Roman" w:cs="Times New Roman" w:hint="eastAsia"/>
          <w:sz w:val="32"/>
          <w:szCs w:val="32"/>
        </w:rPr>
        <w:t>控一般</w:t>
      </w:r>
      <w:proofErr w:type="gramEnd"/>
      <w:r>
        <w:rPr>
          <w:rFonts w:ascii="Times New Roman" w:eastAsia="仿宋_GB2312" w:hAnsi="Times New Roman" w:cs="Times New Roman" w:hint="eastAsia"/>
          <w:sz w:val="32"/>
          <w:szCs w:val="32"/>
        </w:rPr>
        <w:t>耕地。永久基本农田以外的耕地为一般耕地，严格控制转为林地、草地、园地等其他农用地。一般耕地主要用于粮食和</w:t>
      </w:r>
      <w:proofErr w:type="gramStart"/>
      <w:r>
        <w:rPr>
          <w:rFonts w:ascii="Times New Roman" w:eastAsia="仿宋_GB2312" w:hAnsi="Times New Roman" w:cs="Times New Roman" w:hint="eastAsia"/>
          <w:sz w:val="32"/>
          <w:szCs w:val="32"/>
        </w:rPr>
        <w:t>棉、</w:t>
      </w:r>
      <w:proofErr w:type="gramEnd"/>
      <w:r>
        <w:rPr>
          <w:rFonts w:ascii="Times New Roman" w:eastAsia="仿宋_GB2312" w:hAnsi="Times New Roman" w:cs="Times New Roman" w:hint="eastAsia"/>
          <w:sz w:val="32"/>
          <w:szCs w:val="32"/>
        </w:rPr>
        <w:t>油、糖、蔬菜等农产品及饲草饲料生产</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在不破坏耕地耕作层且不造成耕地</w:t>
      </w:r>
      <w:proofErr w:type="gramStart"/>
      <w:r>
        <w:rPr>
          <w:rFonts w:ascii="Times New Roman" w:eastAsia="仿宋_GB2312" w:hAnsi="Times New Roman" w:cs="Times New Roman" w:hint="eastAsia"/>
          <w:sz w:val="32"/>
          <w:szCs w:val="32"/>
        </w:rPr>
        <w:t>地</w:t>
      </w:r>
      <w:proofErr w:type="gramEnd"/>
      <w:r>
        <w:rPr>
          <w:rFonts w:ascii="Times New Roman" w:eastAsia="仿宋_GB2312" w:hAnsi="Times New Roman" w:cs="Times New Roman" w:hint="eastAsia"/>
          <w:sz w:val="32"/>
          <w:szCs w:val="32"/>
        </w:rPr>
        <w:t>类改变的前提下</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可以适度种植其他农作物。不得在一般耕地上挖湖造景、种植草皮；不得在国家批准的生态退耕规划和计划外擅自扩大退耕还林还草</w:t>
      </w:r>
      <w:proofErr w:type="gramStart"/>
      <w:r>
        <w:rPr>
          <w:rFonts w:ascii="Times New Roman" w:eastAsia="仿宋_GB2312" w:hAnsi="Times New Roman" w:cs="Times New Roman" w:hint="eastAsia"/>
          <w:sz w:val="32"/>
          <w:szCs w:val="32"/>
        </w:rPr>
        <w:t>还湿还湖</w:t>
      </w:r>
      <w:proofErr w:type="gramEnd"/>
      <w:r>
        <w:rPr>
          <w:rFonts w:ascii="Times New Roman" w:eastAsia="仿宋_GB2312" w:hAnsi="Times New Roman" w:cs="Times New Roman" w:hint="eastAsia"/>
          <w:sz w:val="32"/>
          <w:szCs w:val="32"/>
        </w:rPr>
        <w:t>规模；不得违规超标准在铁路、公路等用地红线外，以及河渠两侧、水库周边占用一般耕地种树建</w:t>
      </w:r>
      <w:r>
        <w:rPr>
          <w:rFonts w:ascii="Times New Roman" w:eastAsia="仿宋_GB2312" w:hAnsi="Times New Roman" w:cs="Times New Roman" w:hint="eastAsia"/>
          <w:sz w:val="32"/>
          <w:szCs w:val="32"/>
        </w:rPr>
        <w:lastRenderedPageBreak/>
        <w:t>设绿化带；未经批准不得占用一般耕地实施国土绿化；未经批准工商企业等社会资本不得将通过流转获得土地经营权的一般耕地转为林地、园地等其他农用地；确需在耕地上建设农田防护林的，应当符合农田防护林建设相关标准；严格控制新增农村道路、畜禽养殖设施、水产养殖设施和破坏耕作层的种植业设施等农业设施建设用地使用一般耕地。</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严格管护永久基本农田。在确保粮食种植规模基本稳定、确保耕地耕作层不破坏的前提下，对永久基本农田进行严格用途管控。禁止任何单位和个人闲置、荒芜永久基本农田；永久基本农田不得种植杨树、桉树、</w:t>
      </w:r>
      <w:proofErr w:type="gramStart"/>
      <w:r>
        <w:rPr>
          <w:rFonts w:ascii="Times New Roman" w:eastAsia="仿宋_GB2312" w:hAnsi="Times New Roman" w:cs="Times New Roman" w:hint="eastAsia"/>
          <w:sz w:val="32"/>
          <w:szCs w:val="32"/>
        </w:rPr>
        <w:t>构树等</w:t>
      </w:r>
      <w:proofErr w:type="gramEnd"/>
      <w:r>
        <w:rPr>
          <w:rFonts w:ascii="Times New Roman" w:eastAsia="仿宋_GB2312" w:hAnsi="Times New Roman" w:cs="Times New Roman" w:hint="eastAsia"/>
          <w:sz w:val="32"/>
          <w:szCs w:val="32"/>
        </w:rPr>
        <w:t>林木，不得种植草坪、草皮等用于绿化装饰的植物，不得种植其他破坏耕作层的植物；禁止以设施农用地为名违规占用永久基本农田建设休闲旅游、仓储厂房等设施；禁止占用永久基本农田发展林果业和挖塘养鱼等破坏耕作层的生产经营活动；禁止擅自改变永久基本农田的用途和空间布局；禁止占用永久基本农田进行绿色通道、绿化隔离带和防护林建设。</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384" w:name="_Toc2037"/>
      <w:bookmarkStart w:id="385" w:name="_Toc2030"/>
      <w:bookmarkStart w:id="386" w:name="_Toc9215"/>
      <w:bookmarkStart w:id="387" w:name="_Toc13998"/>
      <w:bookmarkStart w:id="388" w:name="_Toc2521"/>
      <w:bookmarkStart w:id="389" w:name="_Toc24239"/>
      <w:bookmarkStart w:id="390" w:name="_Toc23845"/>
      <w:bookmarkStart w:id="391" w:name="_Toc27528"/>
      <w:bookmarkStart w:id="392" w:name="_Toc12884"/>
      <w:r>
        <w:rPr>
          <w:rFonts w:ascii="Times New Roman" w:eastAsia="楷体_GB2312" w:hAnsi="Times New Roman" w:cs="Times New Roman" w:hint="eastAsia"/>
          <w:sz w:val="32"/>
          <w:szCs w:val="32"/>
        </w:rPr>
        <w:t>科学划定生态保护红线，保障生态安全</w:t>
      </w:r>
      <w:bookmarkEnd w:id="384"/>
      <w:bookmarkEnd w:id="385"/>
      <w:bookmarkEnd w:id="386"/>
      <w:bookmarkEnd w:id="387"/>
      <w:bookmarkEnd w:id="388"/>
      <w:bookmarkEnd w:id="389"/>
      <w:bookmarkEnd w:id="390"/>
      <w:bookmarkEnd w:id="391"/>
      <w:bookmarkEnd w:id="392"/>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将生态系统服务功能极重要区、生态极脆弱区以及其他具有重要生态功能、潜在重要生态价值、有必要实施严格保护的区域划入生态保护红线。规划期间，丹东市生态保护红线保持在</w:t>
      </w:r>
      <w:r>
        <w:rPr>
          <w:rFonts w:ascii="Times New Roman" w:eastAsia="仿宋_GB2312" w:hAnsi="Times New Roman" w:cs="Times New Roman" w:hint="eastAsia"/>
          <w:sz w:val="32"/>
          <w:szCs w:val="32"/>
        </w:rPr>
        <w:t>5502.78</w:t>
      </w:r>
      <w:r>
        <w:rPr>
          <w:rFonts w:ascii="Times New Roman" w:eastAsia="仿宋_GB2312" w:hAnsi="Times New Roman" w:cs="Times New Roman" w:hint="eastAsia"/>
          <w:sz w:val="32"/>
          <w:szCs w:val="32"/>
        </w:rPr>
        <w:t>平方千米以上，其中，陆域生态保护红</w:t>
      </w:r>
      <w:proofErr w:type="gramStart"/>
      <w:r>
        <w:rPr>
          <w:rFonts w:ascii="Times New Roman" w:eastAsia="仿宋_GB2312" w:hAnsi="Times New Roman" w:cs="Times New Roman" w:hint="eastAsia"/>
          <w:sz w:val="32"/>
          <w:szCs w:val="32"/>
        </w:rPr>
        <w:t>线面积</w:t>
      </w:r>
      <w:proofErr w:type="gramEnd"/>
      <w:r>
        <w:rPr>
          <w:rFonts w:ascii="Times New Roman" w:eastAsia="仿宋_GB2312" w:hAnsi="Times New Roman" w:cs="Times New Roman" w:hint="eastAsia"/>
          <w:sz w:val="32"/>
          <w:szCs w:val="32"/>
        </w:rPr>
        <w:t>保持在</w:t>
      </w:r>
      <w:r>
        <w:rPr>
          <w:rFonts w:ascii="Times New Roman" w:eastAsia="仿宋_GB2312" w:hAnsi="Times New Roman" w:cs="Times New Roman" w:hint="eastAsia"/>
          <w:sz w:val="32"/>
          <w:szCs w:val="32"/>
        </w:rPr>
        <w:t>4932.60</w:t>
      </w:r>
      <w:r>
        <w:rPr>
          <w:rFonts w:ascii="Times New Roman" w:eastAsia="仿宋_GB2312" w:hAnsi="Times New Roman" w:cs="Times New Roman" w:hint="eastAsia"/>
          <w:sz w:val="32"/>
          <w:szCs w:val="32"/>
        </w:rPr>
        <w:t>平方千米以上，海域生态保护红</w:t>
      </w:r>
      <w:proofErr w:type="gramStart"/>
      <w:r>
        <w:rPr>
          <w:rFonts w:ascii="Times New Roman" w:eastAsia="仿宋_GB2312" w:hAnsi="Times New Roman" w:cs="Times New Roman" w:hint="eastAsia"/>
          <w:sz w:val="32"/>
          <w:szCs w:val="32"/>
        </w:rPr>
        <w:t>线面积</w:t>
      </w:r>
      <w:proofErr w:type="gramEnd"/>
      <w:r>
        <w:rPr>
          <w:rFonts w:ascii="Times New Roman" w:eastAsia="仿宋_GB2312" w:hAnsi="Times New Roman" w:cs="Times New Roman" w:hint="eastAsia"/>
          <w:sz w:val="32"/>
          <w:szCs w:val="32"/>
        </w:rPr>
        <w:lastRenderedPageBreak/>
        <w:t>保持在</w:t>
      </w:r>
      <w:r>
        <w:rPr>
          <w:rFonts w:ascii="Times New Roman" w:eastAsia="仿宋_GB2312" w:hAnsi="Times New Roman" w:cs="Times New Roman" w:hint="eastAsia"/>
          <w:sz w:val="32"/>
          <w:szCs w:val="32"/>
        </w:rPr>
        <w:t>570.18</w:t>
      </w:r>
      <w:r>
        <w:rPr>
          <w:rFonts w:ascii="Times New Roman" w:eastAsia="仿宋_GB2312" w:hAnsi="Times New Roman" w:cs="Times New Roman" w:hint="eastAsia"/>
          <w:sz w:val="32"/>
          <w:szCs w:val="32"/>
        </w:rPr>
        <w:t>平方千米以上。主要分布在辽宁鸭绿江口湿地国家级自然保护区、辽宁白石砬子国家级自然保护区、辽宁丹东</w:t>
      </w:r>
      <w:proofErr w:type="gramStart"/>
      <w:r>
        <w:rPr>
          <w:rFonts w:ascii="Times New Roman" w:eastAsia="仿宋_GB2312" w:hAnsi="Times New Roman" w:cs="Times New Roman" w:hint="eastAsia"/>
          <w:sz w:val="32"/>
          <w:szCs w:val="32"/>
        </w:rPr>
        <w:t>花脖山自然保护区</w:t>
      </w:r>
      <w:proofErr w:type="gramEnd"/>
      <w:r>
        <w:rPr>
          <w:rFonts w:ascii="Times New Roman" w:eastAsia="仿宋_GB2312" w:hAnsi="Times New Roman" w:cs="Times New Roman" w:hint="eastAsia"/>
          <w:sz w:val="32"/>
          <w:szCs w:val="32"/>
        </w:rPr>
        <w:t>、辽宁丹东白鹭自然保护区、铁甲水库水源地等饮用水水源一级保护区以及生态功能极重要和生态极脆弱的地区。</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393" w:name="_Toc31866"/>
      <w:bookmarkStart w:id="394" w:name="_Toc176"/>
      <w:bookmarkStart w:id="395" w:name="_Toc9232"/>
      <w:bookmarkStart w:id="396" w:name="_Toc27829"/>
      <w:bookmarkStart w:id="397" w:name="_Toc24733"/>
      <w:bookmarkStart w:id="398" w:name="_Toc699"/>
      <w:bookmarkStart w:id="399" w:name="_Toc274"/>
      <w:bookmarkStart w:id="400" w:name="_Toc24440"/>
      <w:bookmarkStart w:id="401" w:name="_Toc5136"/>
      <w:r>
        <w:rPr>
          <w:rFonts w:ascii="Times New Roman" w:eastAsia="楷体_GB2312" w:hAnsi="Times New Roman" w:cs="Times New Roman" w:hint="eastAsia"/>
          <w:sz w:val="32"/>
          <w:szCs w:val="32"/>
        </w:rPr>
        <w:t>合理划定城镇开发边界，促进节约集约</w:t>
      </w:r>
      <w:bookmarkEnd w:id="393"/>
      <w:bookmarkEnd w:id="394"/>
      <w:bookmarkEnd w:id="395"/>
      <w:bookmarkEnd w:id="396"/>
      <w:bookmarkEnd w:id="397"/>
      <w:bookmarkEnd w:id="398"/>
      <w:bookmarkEnd w:id="399"/>
      <w:bookmarkEnd w:id="400"/>
      <w:bookmarkEnd w:id="40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科学划定城镇开发边界，在优先划定耕地和永久基本农田、生态保护红线的基础上，按照“以水定城、以水定地、以水定人、以水定产”的原则，规划期间，划定城镇开发边界规模</w:t>
      </w:r>
      <w:r>
        <w:rPr>
          <w:rFonts w:ascii="Times New Roman" w:eastAsia="仿宋_GB2312" w:hAnsi="Times New Roman" w:cs="Times New Roman" w:hint="eastAsia"/>
          <w:sz w:val="32"/>
          <w:szCs w:val="32"/>
        </w:rPr>
        <w:t>298.82</w:t>
      </w:r>
      <w:r>
        <w:rPr>
          <w:rFonts w:ascii="Times New Roman" w:eastAsia="仿宋_GB2312" w:hAnsi="Times New Roman" w:cs="Times New Roman" w:hint="eastAsia"/>
          <w:sz w:val="32"/>
          <w:szCs w:val="32"/>
        </w:rPr>
        <w:t>平方千米，城镇开发边界扩展倍数为</w:t>
      </w:r>
      <w:r>
        <w:rPr>
          <w:rFonts w:ascii="Times New Roman" w:eastAsia="仿宋_GB2312" w:hAnsi="Times New Roman" w:cs="Times New Roman" w:hint="eastAsia"/>
          <w:sz w:val="32"/>
          <w:szCs w:val="32"/>
        </w:rPr>
        <w:t>1.28</w:t>
      </w:r>
      <w:r>
        <w:rPr>
          <w:rFonts w:ascii="Times New Roman" w:eastAsia="仿宋_GB2312" w:hAnsi="Times New Roman" w:cs="Times New Roman" w:hint="eastAsia"/>
          <w:sz w:val="32"/>
          <w:szCs w:val="32"/>
        </w:rPr>
        <w:t>，主要集中于丹东市中心城区、县城、镇区的集中连片城镇建设用地，各类非农产业园区以及部分国家与省市重大建设项目用地。新增城镇建设用地重点保障高新技术产业开发区和丹东东港经济开发区等市级及以上工业园区、城镇服务功能的建设需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城镇开发边界管控要求：城镇开发边界内集中建设区的各项建设，实行“详细规划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规划许可”的方式进行用途管制，并加强与水体保护线、绿地系统线、基础设施建设控制线、历史文化保护线的协同管控。</w:t>
      </w:r>
    </w:p>
    <w:p w:rsidR="00A765C5" w:rsidRDefault="00702EF7" w:rsidP="006B5E5D">
      <w:pPr>
        <w:pStyle w:val="2"/>
        <w:numPr>
          <w:ilvl w:val="0"/>
          <w:numId w:val="5"/>
        </w:numPr>
        <w:snapToGrid w:val="0"/>
        <w:spacing w:beforeLines="50" w:before="156" w:afterLines="50" w:after="156" w:line="600" w:lineRule="exact"/>
        <w:jc w:val="center"/>
        <w:rPr>
          <w:rFonts w:ascii="Times New Roman" w:eastAsia="黑体" w:hAnsi="Times New Roman"/>
          <w:b w:val="0"/>
          <w:bCs w:val="0"/>
          <w:sz w:val="32"/>
        </w:rPr>
      </w:pPr>
      <w:bookmarkStart w:id="402" w:name="_Toc21673"/>
      <w:bookmarkStart w:id="403" w:name="_Toc27208"/>
      <w:bookmarkStart w:id="404" w:name="_Toc2753"/>
      <w:bookmarkStart w:id="405" w:name="_Toc9595"/>
      <w:bookmarkStart w:id="406" w:name="_Toc32485"/>
      <w:bookmarkStart w:id="407" w:name="_Toc645"/>
      <w:bookmarkStart w:id="408" w:name="_Toc27353"/>
      <w:bookmarkStart w:id="409" w:name="_Toc11640"/>
      <w:bookmarkStart w:id="410" w:name="_Toc10642"/>
      <w:bookmarkStart w:id="411" w:name="_Toc20856"/>
      <w:r>
        <w:rPr>
          <w:rFonts w:ascii="Times New Roman" w:eastAsia="黑体" w:hAnsi="Times New Roman" w:hint="eastAsia"/>
          <w:b w:val="0"/>
          <w:bCs w:val="0"/>
          <w:sz w:val="32"/>
        </w:rPr>
        <w:t>强化主体功能</w:t>
      </w:r>
      <w:bookmarkEnd w:id="402"/>
      <w:bookmarkEnd w:id="403"/>
      <w:bookmarkEnd w:id="404"/>
      <w:bookmarkEnd w:id="405"/>
      <w:bookmarkEnd w:id="406"/>
      <w:bookmarkEnd w:id="407"/>
      <w:bookmarkEnd w:id="408"/>
      <w:bookmarkEnd w:id="409"/>
      <w:r>
        <w:rPr>
          <w:rFonts w:ascii="Times New Roman" w:eastAsia="黑体" w:hAnsi="Times New Roman" w:hint="eastAsia"/>
          <w:b w:val="0"/>
          <w:bCs w:val="0"/>
          <w:sz w:val="32"/>
        </w:rPr>
        <w:t>定位</w:t>
      </w:r>
      <w:bookmarkEnd w:id="410"/>
      <w:bookmarkEnd w:id="411"/>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412" w:name="_Toc1847"/>
      <w:bookmarkStart w:id="413" w:name="_Toc10307"/>
      <w:bookmarkStart w:id="414" w:name="_Toc13560"/>
      <w:bookmarkStart w:id="415" w:name="_Toc28164"/>
      <w:bookmarkStart w:id="416" w:name="_Toc29107"/>
      <w:bookmarkStart w:id="417" w:name="_Toc5285"/>
      <w:bookmarkStart w:id="418" w:name="_Toc6823"/>
      <w:bookmarkStart w:id="419" w:name="_Toc24425"/>
      <w:r>
        <w:rPr>
          <w:rFonts w:ascii="Times New Roman" w:eastAsia="楷体_GB2312" w:hAnsi="Times New Roman" w:cs="Times New Roman" w:hint="eastAsia"/>
          <w:sz w:val="32"/>
          <w:szCs w:val="32"/>
        </w:rPr>
        <w:t>落实县级主体功能区</w:t>
      </w:r>
      <w:bookmarkEnd w:id="412"/>
      <w:bookmarkEnd w:id="413"/>
      <w:bookmarkEnd w:id="414"/>
      <w:bookmarkEnd w:id="415"/>
      <w:bookmarkEnd w:id="416"/>
      <w:bookmarkEnd w:id="417"/>
      <w:bookmarkEnd w:id="418"/>
      <w:bookmarkEnd w:id="41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发挥宽甸满族自治县国家级重点生态功能区和</w:t>
      </w:r>
      <w:proofErr w:type="gramStart"/>
      <w:r>
        <w:rPr>
          <w:rFonts w:ascii="Times New Roman" w:eastAsia="仿宋_GB2312" w:hAnsi="Times New Roman" w:cs="Times New Roman" w:hint="eastAsia"/>
          <w:sz w:val="32"/>
          <w:szCs w:val="32"/>
        </w:rPr>
        <w:t>凤城市</w:t>
      </w:r>
      <w:proofErr w:type="gramEnd"/>
      <w:r>
        <w:rPr>
          <w:rFonts w:ascii="Times New Roman" w:eastAsia="仿宋_GB2312" w:hAnsi="Times New Roman" w:cs="Times New Roman" w:hint="eastAsia"/>
          <w:sz w:val="32"/>
          <w:szCs w:val="32"/>
        </w:rPr>
        <w:t>省级重点生态功能</w:t>
      </w:r>
      <w:proofErr w:type="gramStart"/>
      <w:r>
        <w:rPr>
          <w:rFonts w:ascii="Times New Roman" w:eastAsia="仿宋_GB2312" w:hAnsi="Times New Roman" w:cs="Times New Roman" w:hint="eastAsia"/>
          <w:sz w:val="32"/>
          <w:szCs w:val="32"/>
        </w:rPr>
        <w:t>区维护</w:t>
      </w:r>
      <w:proofErr w:type="gramEnd"/>
      <w:r>
        <w:rPr>
          <w:rFonts w:ascii="Times New Roman" w:eastAsia="仿宋_GB2312" w:hAnsi="Times New Roman" w:cs="Times New Roman" w:hint="eastAsia"/>
          <w:sz w:val="32"/>
          <w:szCs w:val="32"/>
        </w:rPr>
        <w:t>区域生态安全的主体功能</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限制进行大规模高强度工业化和城镇化开发，推进山水林</w:t>
      </w:r>
      <w:proofErr w:type="gramStart"/>
      <w:r>
        <w:rPr>
          <w:rFonts w:ascii="Times New Roman" w:eastAsia="仿宋_GB2312" w:hAnsi="Times New Roman" w:cs="Times New Roman" w:hint="eastAsia"/>
          <w:sz w:val="32"/>
          <w:szCs w:val="32"/>
        </w:rPr>
        <w:t>田草沙系统</w:t>
      </w:r>
      <w:proofErr w:type="gramEnd"/>
      <w:r>
        <w:rPr>
          <w:rFonts w:ascii="Times New Roman" w:eastAsia="仿宋_GB2312" w:hAnsi="Times New Roman" w:cs="Times New Roman" w:hint="eastAsia"/>
          <w:sz w:val="32"/>
          <w:szCs w:val="32"/>
        </w:rPr>
        <w:t>治理，保持并提高生态产品供给能力；引导元宝区、振兴区、振安区作为国家级城市化地区的人口和产业集聚功能</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合理壮大中心城镇规模，适度增加产业园区发展空间，形成布局合理、分工协作、优势互补、集约高效的城镇圈；提升东港市作为省级城市化地区的基础设施、公共服务水平，形成高品质的生产生活空间。</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420" w:name="_Toc27557"/>
      <w:bookmarkStart w:id="421" w:name="_Toc10530"/>
      <w:bookmarkStart w:id="422" w:name="_Toc288"/>
      <w:bookmarkStart w:id="423" w:name="_Toc8875"/>
      <w:bookmarkStart w:id="424" w:name="_Toc15303"/>
      <w:bookmarkStart w:id="425" w:name="_Toc8637"/>
      <w:bookmarkStart w:id="426" w:name="_Toc16905"/>
      <w:bookmarkStart w:id="427" w:name="_Toc16679"/>
      <w:r>
        <w:rPr>
          <w:rFonts w:ascii="Times New Roman" w:eastAsia="楷体_GB2312" w:hAnsi="Times New Roman" w:cs="Times New Roman" w:hint="eastAsia"/>
          <w:sz w:val="32"/>
          <w:szCs w:val="32"/>
        </w:rPr>
        <w:t>细化乡级主体功能区</w:t>
      </w:r>
      <w:bookmarkEnd w:id="420"/>
      <w:bookmarkEnd w:id="421"/>
      <w:bookmarkEnd w:id="422"/>
      <w:bookmarkEnd w:id="423"/>
      <w:bookmarkEnd w:id="424"/>
      <w:bookmarkEnd w:id="425"/>
      <w:bookmarkEnd w:id="426"/>
      <w:bookmarkEnd w:id="42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将农用地面积较多、农业发展条件较好、优质耕地分布密集的蓝旗镇、菩萨庙镇等</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个乡（镇）确定为农产品主产区，引导现代农业、特色农业和都市休闲农业发展；将生态系统服务功能重要、生态相对脆弱的宝山镇、四</w:t>
      </w:r>
      <w:proofErr w:type="gramStart"/>
      <w:r>
        <w:rPr>
          <w:rFonts w:ascii="Times New Roman" w:eastAsia="仿宋_GB2312" w:hAnsi="Times New Roman" w:cs="Times New Roman" w:hint="eastAsia"/>
          <w:sz w:val="32"/>
          <w:szCs w:val="32"/>
        </w:rPr>
        <w:t>门子镇</w:t>
      </w:r>
      <w:proofErr w:type="gramEnd"/>
      <w:r>
        <w:rPr>
          <w:rFonts w:ascii="Times New Roman" w:eastAsia="仿宋_GB2312" w:hAnsi="Times New Roman" w:cs="Times New Roman" w:hint="eastAsia"/>
          <w:sz w:val="32"/>
          <w:szCs w:val="32"/>
        </w:rPr>
        <w:t>等</w:t>
      </w:r>
      <w:r>
        <w:rPr>
          <w:rFonts w:ascii="Times New Roman" w:eastAsia="仿宋_GB2312" w:hAnsi="Times New Roman" w:cs="Times New Roman" w:hint="eastAsia"/>
          <w:sz w:val="32"/>
          <w:szCs w:val="32"/>
        </w:rPr>
        <w:t>38</w:t>
      </w:r>
      <w:r>
        <w:rPr>
          <w:rFonts w:ascii="Times New Roman" w:eastAsia="仿宋_GB2312" w:hAnsi="Times New Roman" w:cs="Times New Roman" w:hint="eastAsia"/>
          <w:sz w:val="32"/>
          <w:szCs w:val="32"/>
        </w:rPr>
        <w:t>个乡（镇）确定为重点生态功能区，提升生态产品供给能力；将经济基础良好、人口分布密集、资源环境承载能力较强</w:t>
      </w:r>
      <w:proofErr w:type="gramStart"/>
      <w:r>
        <w:rPr>
          <w:rFonts w:ascii="Times New Roman" w:eastAsia="仿宋_GB2312" w:hAnsi="Times New Roman" w:cs="Times New Roman" w:hint="eastAsia"/>
          <w:sz w:val="32"/>
          <w:szCs w:val="32"/>
        </w:rPr>
        <w:t>的东汤镇</w:t>
      </w:r>
      <w:proofErr w:type="gramEnd"/>
      <w:r>
        <w:rPr>
          <w:rFonts w:ascii="Times New Roman" w:eastAsia="仿宋_GB2312" w:hAnsi="Times New Roman" w:cs="Times New Roman" w:hint="eastAsia"/>
          <w:sz w:val="32"/>
          <w:szCs w:val="32"/>
        </w:rPr>
        <w:t>、刘家河镇等</w:t>
      </w:r>
      <w:r>
        <w:rPr>
          <w:rFonts w:ascii="Times New Roman" w:eastAsia="仿宋_GB2312" w:hAnsi="Times New Roman" w:cs="Times New Roman" w:hint="eastAsia"/>
          <w:sz w:val="32"/>
          <w:szCs w:val="32"/>
        </w:rPr>
        <w:t>32</w:t>
      </w:r>
      <w:r>
        <w:rPr>
          <w:rFonts w:ascii="Times New Roman" w:eastAsia="仿宋_GB2312" w:hAnsi="Times New Roman" w:cs="Times New Roman" w:hint="eastAsia"/>
          <w:sz w:val="32"/>
          <w:szCs w:val="32"/>
        </w:rPr>
        <w:t>个乡（镇、街道）确定为城市化地区，提升区域综合竞争力。</w:t>
      </w:r>
    </w:p>
    <w:p w:rsidR="00A765C5" w:rsidRDefault="00A765C5">
      <w:pPr>
        <w:pStyle w:val="a0"/>
        <w:rPr>
          <w:rFonts w:ascii="Times New Roman" w:eastAsia="仿宋_GB2312" w:hAnsi="Times New Roman" w:cs="Times New Roman" w:hint="default"/>
          <w:sz w:val="32"/>
          <w:szCs w:val="32"/>
        </w:rPr>
        <w:sectPr w:rsidR="00A765C5">
          <w:pgSz w:w="11850" w:h="16783"/>
          <w:pgMar w:top="1440" w:right="1800" w:bottom="1440" w:left="1800" w:header="720" w:footer="720" w:gutter="0"/>
          <w:cols w:space="720"/>
          <w:docGrid w:type="lines" w:linePitch="312"/>
        </w:sectPr>
      </w:pPr>
    </w:p>
    <w:p w:rsidR="00A765C5" w:rsidRDefault="00702EF7">
      <w:pPr>
        <w:pStyle w:val="a0"/>
        <w:adjustRightInd w:val="0"/>
        <w:snapToGrid w:val="0"/>
        <w:ind w:left="0"/>
        <w:rPr>
          <w:rFonts w:hint="default"/>
        </w:rPr>
      </w:pPr>
      <w:r>
        <w:rPr>
          <w:noProof/>
        </w:rPr>
        <w:lastRenderedPageBreak/>
        <w:drawing>
          <wp:inline distT="0" distB="0" distL="114300" distR="114300">
            <wp:extent cx="5232400" cy="7319645"/>
            <wp:effectExtent l="0" t="0" r="6350" b="5080"/>
            <wp:docPr id="4" name="图片 4" descr="210600丹东市08县级行政区主体功能定位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10600丹东市08县级行政区主体功能定位分布图"/>
                    <pic:cNvPicPr>
                      <a:picLocks noChangeAspect="1"/>
                    </pic:cNvPicPr>
                  </pic:nvPicPr>
                  <pic:blipFill>
                    <a:blip r:embed="rId10"/>
                    <a:stretch>
                      <a:fillRect/>
                    </a:stretch>
                  </pic:blipFill>
                  <pic:spPr>
                    <a:xfrm>
                      <a:off x="0" y="0"/>
                      <a:ext cx="5232400" cy="7319645"/>
                    </a:xfrm>
                    <a:prstGeom prst="rect">
                      <a:avLst/>
                    </a:prstGeom>
                  </pic:spPr>
                </pic:pic>
              </a:graphicData>
            </a:graphic>
          </wp:inline>
        </w:drawing>
      </w:r>
    </w:p>
    <w:p w:rsidR="00A765C5" w:rsidRDefault="00A765C5">
      <w:pPr>
        <w:pStyle w:val="a0"/>
        <w:adjustRightInd w:val="0"/>
        <w:snapToGrid w:val="0"/>
        <w:ind w:left="0"/>
        <w:rPr>
          <w:rFonts w:hint="default"/>
        </w:rPr>
      </w:pPr>
    </w:p>
    <w:p w:rsidR="00A765C5" w:rsidRDefault="00A765C5">
      <w:pPr>
        <w:pStyle w:val="a0"/>
        <w:adjustRightInd w:val="0"/>
        <w:snapToGrid w:val="0"/>
        <w:ind w:left="0"/>
        <w:rPr>
          <w:rFonts w:hint="default"/>
        </w:rPr>
      </w:pPr>
    </w:p>
    <w:p w:rsidR="00A765C5" w:rsidRDefault="00A765C5">
      <w:pPr>
        <w:pStyle w:val="a0"/>
        <w:adjustRightInd w:val="0"/>
        <w:snapToGrid w:val="0"/>
        <w:ind w:left="0"/>
        <w:rPr>
          <w:rFonts w:hint="default"/>
        </w:rPr>
      </w:pPr>
    </w:p>
    <w:p w:rsidR="00A765C5" w:rsidRDefault="00A765C5">
      <w:pPr>
        <w:pStyle w:val="a0"/>
        <w:adjustRightInd w:val="0"/>
        <w:snapToGrid w:val="0"/>
        <w:ind w:left="0"/>
        <w:rPr>
          <w:rFonts w:hint="default"/>
        </w:rPr>
      </w:pPr>
    </w:p>
    <w:p w:rsidR="00A765C5" w:rsidRDefault="00A765C5">
      <w:pPr>
        <w:pStyle w:val="a0"/>
        <w:adjustRightInd w:val="0"/>
        <w:snapToGrid w:val="0"/>
        <w:ind w:left="0"/>
        <w:rPr>
          <w:rFonts w:hint="default"/>
        </w:rPr>
      </w:pPr>
    </w:p>
    <w:p w:rsidR="00A765C5" w:rsidRDefault="00A765C5">
      <w:pPr>
        <w:pStyle w:val="a0"/>
        <w:adjustRightInd w:val="0"/>
        <w:snapToGrid w:val="0"/>
        <w:ind w:left="0"/>
        <w:rPr>
          <w:rFonts w:hint="default"/>
        </w:rPr>
      </w:pPr>
    </w:p>
    <w:p w:rsidR="00A765C5" w:rsidRDefault="00702EF7">
      <w:pPr>
        <w:pStyle w:val="a4"/>
        <w:jc w:val="center"/>
      </w:pPr>
      <w:r>
        <w:rPr>
          <w:rFonts w:hint="eastAsia"/>
          <w:noProof/>
        </w:rPr>
        <w:lastRenderedPageBreak/>
        <w:drawing>
          <wp:inline distT="0" distB="0" distL="114300" distR="114300">
            <wp:extent cx="5232400" cy="7319645"/>
            <wp:effectExtent l="0" t="0" r="6350" b="5080"/>
            <wp:docPr id="6" name="图片 6" descr="210600丹东市41乡级行政区主体功能定位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10600丹东市41乡级行政区主体功能定位分布图"/>
                    <pic:cNvPicPr>
                      <a:picLocks noChangeAspect="1"/>
                    </pic:cNvPicPr>
                  </pic:nvPicPr>
                  <pic:blipFill>
                    <a:blip r:embed="rId11"/>
                    <a:stretch>
                      <a:fillRect/>
                    </a:stretch>
                  </pic:blipFill>
                  <pic:spPr>
                    <a:xfrm>
                      <a:off x="0" y="0"/>
                      <a:ext cx="5232400" cy="7319645"/>
                    </a:xfrm>
                    <a:prstGeom prst="rect">
                      <a:avLst/>
                    </a:prstGeom>
                  </pic:spPr>
                </pic:pic>
              </a:graphicData>
            </a:graphic>
          </wp:inline>
        </w:drawing>
      </w:r>
    </w:p>
    <w:p w:rsidR="00A765C5" w:rsidRDefault="00A765C5">
      <w:pPr>
        <w:pStyle w:val="a4"/>
        <w:jc w:val="center"/>
      </w:pPr>
    </w:p>
    <w:p w:rsidR="00A765C5" w:rsidRDefault="00A765C5">
      <w:pPr>
        <w:pStyle w:val="a4"/>
        <w:jc w:val="center"/>
      </w:pPr>
    </w:p>
    <w:p w:rsidR="00A765C5" w:rsidRDefault="00A765C5">
      <w:pPr>
        <w:pStyle w:val="a4"/>
        <w:jc w:val="center"/>
      </w:pPr>
    </w:p>
    <w:p w:rsidR="00A765C5" w:rsidRDefault="00A765C5">
      <w:pPr>
        <w:pStyle w:val="a4"/>
        <w:jc w:val="center"/>
      </w:pPr>
    </w:p>
    <w:p w:rsidR="00A765C5" w:rsidRDefault="00A765C5">
      <w:pPr>
        <w:pStyle w:val="a4"/>
        <w:jc w:val="center"/>
      </w:pPr>
    </w:p>
    <w:p w:rsidR="00A765C5" w:rsidRDefault="00A765C5">
      <w:pPr>
        <w:pStyle w:val="a4"/>
        <w:jc w:val="center"/>
      </w:pPr>
    </w:p>
    <w:p w:rsidR="00A765C5" w:rsidRDefault="00A765C5">
      <w:pPr>
        <w:pStyle w:val="a4"/>
        <w:jc w:val="both"/>
      </w:pPr>
    </w:p>
    <w:p w:rsidR="00A765C5" w:rsidRDefault="00A765C5">
      <w:pPr>
        <w:pStyle w:val="a4"/>
        <w:jc w:val="center"/>
        <w:sectPr w:rsidR="00A765C5">
          <w:pgSz w:w="11850" w:h="16783"/>
          <w:pgMar w:top="1440" w:right="1800" w:bottom="1440" w:left="1800" w:header="720" w:footer="720" w:gutter="0"/>
          <w:cols w:space="720"/>
          <w:docGrid w:type="lines" w:linePitch="312"/>
        </w:sectPr>
      </w:pPr>
    </w:p>
    <w:p w:rsidR="00A765C5" w:rsidRDefault="00702EF7" w:rsidP="006B5E5D">
      <w:pPr>
        <w:pStyle w:val="2"/>
        <w:numPr>
          <w:ilvl w:val="0"/>
          <w:numId w:val="5"/>
        </w:numPr>
        <w:snapToGrid w:val="0"/>
        <w:spacing w:beforeLines="50" w:before="156" w:afterLines="50" w:after="156" w:line="600" w:lineRule="exact"/>
        <w:jc w:val="center"/>
        <w:rPr>
          <w:rFonts w:ascii="Times New Roman" w:eastAsia="黑体" w:hAnsi="Times New Roman"/>
          <w:b w:val="0"/>
          <w:bCs w:val="0"/>
          <w:sz w:val="32"/>
        </w:rPr>
      </w:pPr>
      <w:bookmarkStart w:id="428" w:name="_Toc17110"/>
      <w:bookmarkStart w:id="429" w:name="_Toc3808"/>
      <w:bookmarkStart w:id="430" w:name="_Toc6779"/>
      <w:bookmarkStart w:id="431" w:name="_Toc11461"/>
      <w:bookmarkStart w:id="432" w:name="_Toc21334"/>
      <w:bookmarkStart w:id="433" w:name="_Toc24654"/>
      <w:bookmarkStart w:id="434" w:name="_Toc22170"/>
      <w:bookmarkStart w:id="435" w:name="_Toc1716"/>
      <w:bookmarkStart w:id="436" w:name="_Toc3105"/>
      <w:bookmarkStart w:id="437" w:name="_Toc504"/>
      <w:r>
        <w:rPr>
          <w:rFonts w:ascii="Times New Roman" w:eastAsia="黑体" w:hAnsi="Times New Roman" w:hint="eastAsia"/>
          <w:b w:val="0"/>
          <w:bCs w:val="0"/>
          <w:sz w:val="32"/>
        </w:rPr>
        <w:lastRenderedPageBreak/>
        <w:t>优化国土空间总体格局</w:t>
      </w:r>
      <w:bookmarkEnd w:id="428"/>
      <w:bookmarkEnd w:id="429"/>
      <w:bookmarkEnd w:id="430"/>
      <w:bookmarkEnd w:id="431"/>
      <w:bookmarkEnd w:id="432"/>
      <w:bookmarkEnd w:id="433"/>
      <w:bookmarkEnd w:id="434"/>
      <w:bookmarkEnd w:id="435"/>
      <w:bookmarkEnd w:id="436"/>
      <w:bookmarkEnd w:id="437"/>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438" w:name="_Toc11426"/>
      <w:bookmarkStart w:id="439" w:name="_Toc19669"/>
      <w:r>
        <w:rPr>
          <w:rFonts w:ascii="Times New Roman" w:eastAsia="楷体_GB2312" w:hAnsi="Times New Roman" w:cs="Times New Roman" w:hint="eastAsia"/>
          <w:sz w:val="32"/>
          <w:szCs w:val="32"/>
        </w:rPr>
        <w:t>国土空间开发保护总体格局</w:t>
      </w:r>
      <w:bookmarkEnd w:id="438"/>
      <w:bookmarkEnd w:id="43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构建丹东都市区、绿色发展区、蓝色发展区、沿江沿海开发开放带“三区一带”的国土空间开发保护总体格局。</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440" w:name="_Toc6035"/>
      <w:bookmarkStart w:id="441" w:name="_Toc26369"/>
      <w:bookmarkStart w:id="442" w:name="_Toc17464"/>
      <w:bookmarkStart w:id="443" w:name="_Toc31529"/>
      <w:bookmarkStart w:id="444" w:name="_Toc1661"/>
      <w:bookmarkStart w:id="445" w:name="_Toc16415"/>
      <w:r>
        <w:rPr>
          <w:rFonts w:ascii="Times New Roman" w:eastAsia="仿宋_GB2312" w:hAnsi="Times New Roman" w:cs="Times New Roman" w:hint="eastAsia"/>
          <w:sz w:val="32"/>
          <w:szCs w:val="32"/>
        </w:rPr>
        <w:t>高效协同夯实丹东都市区</w:t>
      </w:r>
      <w:bookmarkEnd w:id="440"/>
      <w:bookmarkEnd w:id="441"/>
      <w:bookmarkEnd w:id="442"/>
      <w:bookmarkEnd w:id="443"/>
      <w:bookmarkEnd w:id="444"/>
      <w:bookmarkEnd w:id="445"/>
      <w:r>
        <w:rPr>
          <w:rFonts w:ascii="Times New Roman" w:eastAsia="仿宋_GB2312" w:hAnsi="Times New Roman" w:cs="Times New Roman" w:hint="eastAsia"/>
          <w:sz w:val="32"/>
          <w:szCs w:val="32"/>
        </w:rPr>
        <w:t>。包括凤城城区</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东汤镇镇</w:t>
      </w:r>
      <w:proofErr w:type="gramEnd"/>
      <w:r>
        <w:rPr>
          <w:rFonts w:ascii="Times New Roman" w:eastAsia="仿宋_GB2312" w:hAnsi="Times New Roman" w:cs="Times New Roman" w:hint="eastAsia"/>
          <w:sz w:val="32"/>
          <w:szCs w:val="32"/>
        </w:rPr>
        <w:t>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五龙背镇镇区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丹东城区</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前阳镇镇</w:t>
      </w:r>
      <w:proofErr w:type="gramEnd"/>
      <w:r>
        <w:rPr>
          <w:rFonts w:ascii="Times New Roman" w:eastAsia="仿宋_GB2312" w:hAnsi="Times New Roman" w:cs="Times New Roman" w:hint="eastAsia"/>
          <w:sz w:val="32"/>
          <w:szCs w:val="32"/>
        </w:rPr>
        <w:t>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东港城区，以及金山、汤池、同兴、楼房、汤山城、九连城镇区。形成彼此空间相连、产业协同、设施共享、制度协调的带状都市区，是丹东市新型城镇化和新型工业化推进的主体区域，重点推进高品质生活、高质量发展和高水平治理，打造宜居、宜业、宜游的现代化都市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446" w:name="_Toc20050"/>
      <w:bookmarkStart w:id="447" w:name="_Toc14939"/>
      <w:bookmarkStart w:id="448" w:name="_Toc23348"/>
      <w:bookmarkStart w:id="449" w:name="_Toc5998"/>
      <w:bookmarkStart w:id="450" w:name="_Toc6070"/>
      <w:bookmarkStart w:id="451" w:name="_Toc10176"/>
      <w:r>
        <w:rPr>
          <w:rFonts w:ascii="Times New Roman" w:eastAsia="仿宋_GB2312" w:hAnsi="Times New Roman" w:cs="Times New Roman" w:hint="eastAsia"/>
          <w:sz w:val="32"/>
          <w:szCs w:val="32"/>
        </w:rPr>
        <w:t>保护优先建设绿色发展区</w:t>
      </w:r>
      <w:bookmarkEnd w:id="446"/>
      <w:bookmarkEnd w:id="447"/>
      <w:bookmarkEnd w:id="448"/>
      <w:bookmarkEnd w:id="449"/>
      <w:bookmarkEnd w:id="450"/>
      <w:bookmarkEnd w:id="451"/>
      <w:r>
        <w:rPr>
          <w:rFonts w:ascii="Times New Roman" w:eastAsia="仿宋_GB2312" w:hAnsi="Times New Roman" w:cs="Times New Roman" w:hint="eastAsia"/>
          <w:sz w:val="32"/>
          <w:szCs w:val="32"/>
        </w:rPr>
        <w:t>。包括宽甸满族自治县、东港市内陆乡镇以及</w:t>
      </w:r>
      <w:proofErr w:type="gramStart"/>
      <w:r>
        <w:rPr>
          <w:rFonts w:ascii="Times New Roman" w:eastAsia="仿宋_GB2312" w:hAnsi="Times New Roman" w:cs="Times New Roman" w:hint="eastAsia"/>
          <w:sz w:val="32"/>
          <w:szCs w:val="32"/>
        </w:rPr>
        <w:t>凤</w:t>
      </w:r>
      <w:proofErr w:type="gramEnd"/>
      <w:r>
        <w:rPr>
          <w:rFonts w:ascii="Times New Roman" w:eastAsia="仿宋_GB2312" w:hAnsi="Times New Roman" w:cs="Times New Roman" w:hint="eastAsia"/>
          <w:sz w:val="32"/>
          <w:szCs w:val="32"/>
        </w:rPr>
        <w:t>城市除城区</w:t>
      </w:r>
      <w:proofErr w:type="gramStart"/>
      <w:r>
        <w:rPr>
          <w:rFonts w:ascii="Times New Roman" w:eastAsia="仿宋_GB2312" w:hAnsi="Times New Roman" w:cs="Times New Roman" w:hint="eastAsia"/>
          <w:sz w:val="32"/>
          <w:szCs w:val="32"/>
        </w:rPr>
        <w:t>和东汤镇</w:t>
      </w:r>
      <w:proofErr w:type="gramEnd"/>
      <w:r>
        <w:rPr>
          <w:rFonts w:ascii="Times New Roman" w:eastAsia="仿宋_GB2312" w:hAnsi="Times New Roman" w:cs="Times New Roman" w:hint="eastAsia"/>
          <w:sz w:val="32"/>
          <w:szCs w:val="32"/>
        </w:rPr>
        <w:t>以外的乡镇。依托绿色生态资源，立足生态安全，发展有机食品产业、大健康产业、旅游产业等绿色产业，打造辽东乃至东北东部地区绿色经济先导区。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452" w:name="_Toc29393"/>
      <w:bookmarkStart w:id="453" w:name="_Toc26001"/>
      <w:bookmarkStart w:id="454" w:name="_Toc8059"/>
      <w:bookmarkStart w:id="455" w:name="_Toc21517"/>
      <w:bookmarkStart w:id="456" w:name="_Toc3025"/>
      <w:bookmarkStart w:id="457" w:name="_Toc7219"/>
      <w:r>
        <w:rPr>
          <w:rFonts w:ascii="Times New Roman" w:eastAsia="仿宋_GB2312" w:hAnsi="Times New Roman" w:cs="Times New Roman" w:hint="eastAsia"/>
          <w:sz w:val="32"/>
          <w:szCs w:val="32"/>
        </w:rPr>
        <w:t>强化特色提升蓝色发展区</w:t>
      </w:r>
      <w:bookmarkEnd w:id="452"/>
      <w:bookmarkEnd w:id="453"/>
      <w:bookmarkEnd w:id="454"/>
      <w:bookmarkEnd w:id="455"/>
      <w:bookmarkEnd w:id="456"/>
      <w:bookmarkEnd w:id="457"/>
      <w:r>
        <w:rPr>
          <w:rFonts w:ascii="Times New Roman" w:eastAsia="仿宋_GB2312" w:hAnsi="Times New Roman" w:cs="Times New Roman" w:hint="eastAsia"/>
          <w:sz w:val="32"/>
          <w:szCs w:val="32"/>
        </w:rPr>
        <w:t>。包括丹东港、东港市沿海乡镇以及海域空间。依托海洋资源，发展现代渔业和水产品加工业，支持远洋捕捞业发展，推进海洋牧场建设，加强陆海统筹，打造环黄海海洋经济国际合作示范区。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458" w:name="_Toc7747"/>
      <w:bookmarkStart w:id="459" w:name="_Toc16329"/>
      <w:bookmarkStart w:id="460" w:name="_Toc18455"/>
      <w:bookmarkStart w:id="461" w:name="_Toc3953"/>
      <w:bookmarkStart w:id="462" w:name="_Toc4387"/>
      <w:bookmarkStart w:id="463" w:name="_Toc7629"/>
      <w:r>
        <w:rPr>
          <w:rFonts w:ascii="Times New Roman" w:eastAsia="仿宋_GB2312" w:hAnsi="Times New Roman" w:cs="Times New Roman" w:hint="eastAsia"/>
          <w:sz w:val="32"/>
          <w:szCs w:val="32"/>
        </w:rPr>
        <w:t>联动融合打造沿江沿海开发开放带</w:t>
      </w:r>
      <w:bookmarkEnd w:id="458"/>
      <w:bookmarkEnd w:id="459"/>
      <w:bookmarkEnd w:id="460"/>
      <w:bookmarkEnd w:id="461"/>
      <w:bookmarkEnd w:id="462"/>
      <w:bookmarkEnd w:id="463"/>
      <w:r>
        <w:rPr>
          <w:rFonts w:ascii="Times New Roman" w:eastAsia="仿宋_GB2312" w:hAnsi="Times New Roman" w:cs="Times New Roman" w:hint="eastAsia"/>
          <w:sz w:val="32"/>
          <w:szCs w:val="32"/>
        </w:rPr>
        <w:t>。包括鸭绿江及黄海沿岸地区，西起</w:t>
      </w:r>
      <w:proofErr w:type="gramStart"/>
      <w:r>
        <w:rPr>
          <w:rFonts w:ascii="Times New Roman" w:eastAsia="仿宋_GB2312" w:hAnsi="Times New Roman" w:cs="Times New Roman" w:hint="eastAsia"/>
          <w:sz w:val="32"/>
          <w:szCs w:val="32"/>
        </w:rPr>
        <w:t>东港市孤山</w:t>
      </w:r>
      <w:proofErr w:type="gramEnd"/>
      <w:r>
        <w:rPr>
          <w:rFonts w:ascii="Times New Roman" w:eastAsia="仿宋_GB2312" w:hAnsi="Times New Roman" w:cs="Times New Roman" w:hint="eastAsia"/>
          <w:sz w:val="32"/>
          <w:szCs w:val="32"/>
        </w:rPr>
        <w:t>镇，经东港、丹东城区，至宽甸</w:t>
      </w:r>
      <w:r>
        <w:rPr>
          <w:rFonts w:ascii="Times New Roman" w:eastAsia="仿宋_GB2312" w:hAnsi="Times New Roman" w:cs="Times New Roman" w:hint="eastAsia"/>
          <w:sz w:val="32"/>
          <w:szCs w:val="32"/>
        </w:rPr>
        <w:lastRenderedPageBreak/>
        <w:t>满族自治县</w:t>
      </w:r>
      <w:proofErr w:type="gramStart"/>
      <w:r>
        <w:rPr>
          <w:rFonts w:ascii="Times New Roman" w:eastAsia="仿宋_GB2312" w:hAnsi="Times New Roman" w:cs="Times New Roman" w:hint="eastAsia"/>
          <w:sz w:val="32"/>
          <w:szCs w:val="32"/>
        </w:rPr>
        <w:t>下露河镇</w:t>
      </w:r>
      <w:proofErr w:type="gramEnd"/>
      <w:r>
        <w:rPr>
          <w:rFonts w:ascii="Times New Roman" w:eastAsia="仿宋_GB2312" w:hAnsi="Times New Roman" w:cs="Times New Roman" w:hint="eastAsia"/>
          <w:sz w:val="32"/>
          <w:szCs w:val="32"/>
        </w:rPr>
        <w:t>。对接辽宁沿海经济带高质量发展和东北东部绿色经济带建设战略，以交通廊道、江海资源为依托，推进港、产、城融合发展，打造高端产业集聚带、江海国际旅游带、高品质</w:t>
      </w:r>
      <w:proofErr w:type="gramStart"/>
      <w:r>
        <w:rPr>
          <w:rFonts w:ascii="Times New Roman" w:eastAsia="仿宋_GB2312" w:hAnsi="Times New Roman" w:cs="Times New Roman" w:hint="eastAsia"/>
          <w:sz w:val="32"/>
          <w:szCs w:val="32"/>
        </w:rPr>
        <w:t>幸福宜</w:t>
      </w:r>
      <w:proofErr w:type="gramEnd"/>
      <w:r>
        <w:rPr>
          <w:rFonts w:ascii="Times New Roman" w:eastAsia="仿宋_GB2312" w:hAnsi="Times New Roman" w:cs="Times New Roman" w:hint="eastAsia"/>
          <w:sz w:val="32"/>
          <w:szCs w:val="32"/>
        </w:rPr>
        <w:t>居生活带、守边固边特色发展带。</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464" w:name="_Toc11777"/>
      <w:bookmarkStart w:id="465" w:name="_Toc31109"/>
      <w:bookmarkStart w:id="466" w:name="_Toc31938"/>
      <w:bookmarkStart w:id="467" w:name="_Toc10873"/>
      <w:bookmarkStart w:id="468" w:name="_Toc21720"/>
      <w:bookmarkStart w:id="469" w:name="_Toc779"/>
      <w:bookmarkStart w:id="470" w:name="_Toc1675"/>
      <w:r>
        <w:rPr>
          <w:rFonts w:ascii="Times New Roman" w:eastAsia="楷体_GB2312" w:hAnsi="Times New Roman" w:cs="Times New Roman" w:hint="eastAsia"/>
          <w:sz w:val="32"/>
          <w:szCs w:val="32"/>
        </w:rPr>
        <w:t>巩固农业空间格局</w:t>
      </w:r>
      <w:bookmarkEnd w:id="464"/>
      <w:bookmarkEnd w:id="465"/>
      <w:bookmarkEnd w:id="466"/>
      <w:bookmarkEnd w:id="467"/>
      <w:bookmarkEnd w:id="468"/>
      <w:bookmarkEnd w:id="469"/>
      <w:bookmarkEnd w:id="47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构建全域“三片区”的农业生产格局。</w:t>
      </w:r>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proofErr w:type="gramStart"/>
      <w:r>
        <w:rPr>
          <w:rFonts w:ascii="Times New Roman" w:eastAsia="仿宋_GB2312" w:hAnsi="Times New Roman" w:cs="Times New Roman" w:hint="eastAsia"/>
          <w:sz w:val="32"/>
          <w:szCs w:val="32"/>
        </w:rPr>
        <w:t>做美</w:t>
      </w:r>
      <w:proofErr w:type="gramEnd"/>
      <w:r>
        <w:rPr>
          <w:rFonts w:ascii="Times New Roman" w:eastAsia="仿宋_GB2312" w:hAnsi="Times New Roman" w:cs="Times New Roman" w:hint="eastAsia"/>
          <w:sz w:val="32"/>
          <w:szCs w:val="32"/>
        </w:rPr>
        <w:t>东部都市农业片区。包括东港市东部、元宝区南部、振兴区东北部、振安区东南部等沿江沿海区域，是都市农业建设重点区域。突出城郊农村生活风貌和乡村文化内涵，发展观光休闲、农事体验等都市观光农业。</w:t>
      </w:r>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proofErr w:type="gramStart"/>
      <w:r>
        <w:rPr>
          <w:rFonts w:ascii="Times New Roman" w:eastAsia="仿宋_GB2312" w:hAnsi="Times New Roman" w:cs="Times New Roman" w:hint="eastAsia"/>
          <w:sz w:val="32"/>
          <w:szCs w:val="32"/>
        </w:rPr>
        <w:t>做特北部</w:t>
      </w:r>
      <w:proofErr w:type="gramEnd"/>
      <w:r>
        <w:rPr>
          <w:rFonts w:ascii="Times New Roman" w:eastAsia="仿宋_GB2312" w:hAnsi="Times New Roman" w:cs="Times New Roman" w:hint="eastAsia"/>
          <w:sz w:val="32"/>
          <w:szCs w:val="32"/>
        </w:rPr>
        <w:t>生态农业片区。包括宽甸满族自治县、东港市北部、元宝区西北部、振兴区西南部、振安区西北部，是辽宁省林业生产基地之一，大力推进林下经济。</w:t>
      </w:r>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proofErr w:type="gramStart"/>
      <w:r>
        <w:rPr>
          <w:rFonts w:ascii="Times New Roman" w:eastAsia="仿宋_GB2312" w:hAnsi="Times New Roman" w:cs="Times New Roman" w:hint="eastAsia"/>
          <w:sz w:val="32"/>
          <w:szCs w:val="32"/>
        </w:rPr>
        <w:t>做优南部</w:t>
      </w:r>
      <w:proofErr w:type="gramEnd"/>
      <w:r>
        <w:rPr>
          <w:rFonts w:ascii="Times New Roman" w:eastAsia="仿宋_GB2312" w:hAnsi="Times New Roman" w:cs="Times New Roman" w:hint="eastAsia"/>
          <w:sz w:val="32"/>
          <w:szCs w:val="32"/>
        </w:rPr>
        <w:t>粮食主产片区</w:t>
      </w:r>
      <w:bookmarkStart w:id="471" w:name="_Toc23626"/>
      <w:r>
        <w:rPr>
          <w:rFonts w:ascii="Times New Roman" w:eastAsia="仿宋_GB2312" w:hAnsi="Times New Roman" w:cs="Times New Roman" w:hint="eastAsia"/>
          <w:sz w:val="32"/>
          <w:szCs w:val="32"/>
        </w:rPr>
        <w:t>。包括东港市中南部以及</w:t>
      </w:r>
      <w:proofErr w:type="gramStart"/>
      <w:r>
        <w:rPr>
          <w:rFonts w:ascii="Times New Roman" w:eastAsia="仿宋_GB2312" w:hAnsi="Times New Roman" w:cs="Times New Roman" w:hint="eastAsia"/>
          <w:sz w:val="32"/>
          <w:szCs w:val="32"/>
        </w:rPr>
        <w:t>凤</w:t>
      </w:r>
      <w:proofErr w:type="gramEnd"/>
      <w:r>
        <w:rPr>
          <w:rFonts w:ascii="Times New Roman" w:eastAsia="仿宋_GB2312" w:hAnsi="Times New Roman" w:cs="Times New Roman" w:hint="eastAsia"/>
          <w:sz w:val="32"/>
          <w:szCs w:val="32"/>
        </w:rPr>
        <w:t>城市蓝旗镇，是丹东市的粮食主产区，建设特色农产品优势区。严格保护现有耕地和永久基本农田，提高粮食生产能力和地产蔬菜供给能力，在不占用基本农田的前提下积极发展设施农业，为丹东草莓、小柿子等特色水果产业发展留足空间。</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472" w:name="_Toc23632"/>
      <w:bookmarkStart w:id="473" w:name="_Toc1808"/>
      <w:bookmarkStart w:id="474" w:name="_Toc31797"/>
      <w:bookmarkStart w:id="475" w:name="_Toc17667"/>
      <w:bookmarkStart w:id="476" w:name="_Toc32721"/>
      <w:bookmarkStart w:id="477" w:name="_Toc4458"/>
      <w:bookmarkStart w:id="478" w:name="_Toc20739"/>
      <w:bookmarkStart w:id="479" w:name="_Toc14252"/>
      <w:bookmarkStart w:id="480" w:name="_Toc9268"/>
      <w:bookmarkStart w:id="481" w:name="_Toc2995"/>
      <w:bookmarkEnd w:id="471"/>
      <w:r>
        <w:rPr>
          <w:rFonts w:ascii="Times New Roman" w:eastAsia="楷体_GB2312" w:hAnsi="Times New Roman" w:cs="Times New Roman" w:hint="eastAsia"/>
          <w:sz w:val="32"/>
          <w:szCs w:val="32"/>
        </w:rPr>
        <w:t>筑牢生态安全格局</w:t>
      </w:r>
      <w:bookmarkEnd w:id="472"/>
      <w:bookmarkEnd w:id="473"/>
      <w:bookmarkEnd w:id="474"/>
      <w:bookmarkEnd w:id="475"/>
      <w:bookmarkEnd w:id="476"/>
      <w:bookmarkEnd w:id="477"/>
      <w:bookmarkEnd w:id="478"/>
      <w:bookmarkEnd w:id="479"/>
      <w:bookmarkEnd w:id="480"/>
      <w:bookmarkEnd w:id="481"/>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锚固丹东市“两屏九源，三带八廊”生态系统保护格局。</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482" w:name="_Toc4156"/>
      <w:bookmarkStart w:id="483" w:name="_Toc8443"/>
      <w:bookmarkStart w:id="484" w:name="_Toc30504"/>
      <w:bookmarkStart w:id="485" w:name="_Toc11970"/>
      <w:bookmarkStart w:id="486" w:name="_Toc31119"/>
      <w:bookmarkStart w:id="487" w:name="_Toc15073"/>
      <w:r>
        <w:rPr>
          <w:rFonts w:ascii="Times New Roman" w:eastAsia="仿宋_GB2312" w:hAnsi="Times New Roman" w:cs="Times New Roman" w:hint="eastAsia"/>
          <w:sz w:val="32"/>
          <w:szCs w:val="32"/>
        </w:rPr>
        <w:t>保育山海生态安全屏障</w:t>
      </w:r>
      <w:bookmarkEnd w:id="482"/>
      <w:bookmarkEnd w:id="483"/>
      <w:bookmarkEnd w:id="484"/>
      <w:bookmarkEnd w:id="485"/>
      <w:bookmarkEnd w:id="486"/>
      <w:bookmarkEnd w:id="487"/>
      <w:r>
        <w:rPr>
          <w:rFonts w:ascii="Times New Roman" w:eastAsia="仿宋_GB2312" w:hAnsi="Times New Roman" w:cs="Times New Roman" w:hint="eastAsia"/>
          <w:sz w:val="32"/>
          <w:szCs w:val="32"/>
        </w:rPr>
        <w:t>。辽东山地生态水源涵养与生物多样性保护安全屏障，以森林生态功能精准提升、废弃矿场</w:t>
      </w:r>
      <w:r>
        <w:rPr>
          <w:rFonts w:ascii="Times New Roman" w:eastAsia="仿宋_GB2312" w:hAnsi="Times New Roman" w:cs="Times New Roman" w:hint="eastAsia"/>
          <w:sz w:val="32"/>
          <w:szCs w:val="32"/>
        </w:rPr>
        <w:lastRenderedPageBreak/>
        <w:t>修复、水源地汇水区小流域综合治理为重点，提升水源涵养能力和维护生物多样性功能；近岸海域海岛滨海湿地和海岸带保护安全屏障，以海岸带水源涵养、水土保持、海岸整治、景观修复为重点，保护历史文化遗迹、独特地质地貌景观，加强天然产卵场生境稳定，保护珍稀物种栖息地，提升鸭绿江河口天然湿地生态系统的完整性，防止内陆湿地“水库化”。</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488" w:name="_Toc8386"/>
      <w:bookmarkStart w:id="489" w:name="_Toc15202"/>
      <w:bookmarkStart w:id="490" w:name="_Toc26413"/>
      <w:bookmarkStart w:id="491" w:name="_Toc21049"/>
      <w:bookmarkStart w:id="492" w:name="_Toc30383"/>
      <w:bookmarkStart w:id="493" w:name="_Toc32231"/>
      <w:r>
        <w:rPr>
          <w:rFonts w:ascii="Times New Roman" w:eastAsia="仿宋_GB2312" w:hAnsi="Times New Roman" w:cs="Times New Roman" w:hint="eastAsia"/>
          <w:sz w:val="32"/>
          <w:szCs w:val="32"/>
        </w:rPr>
        <w:t>保护和修复江海林生态带</w:t>
      </w:r>
      <w:bookmarkEnd w:id="488"/>
      <w:bookmarkEnd w:id="489"/>
      <w:bookmarkEnd w:id="490"/>
      <w:bookmarkEnd w:id="491"/>
      <w:bookmarkEnd w:id="492"/>
      <w:bookmarkEnd w:id="493"/>
      <w:r>
        <w:rPr>
          <w:rFonts w:ascii="Times New Roman" w:eastAsia="仿宋_GB2312" w:hAnsi="Times New Roman" w:cs="Times New Roman" w:hint="eastAsia"/>
          <w:sz w:val="32"/>
          <w:szCs w:val="32"/>
        </w:rPr>
        <w:t>。依托鸭绿江风景名胜区建设鸭绿江生态带，加强地被植物和景观培育；加强生态防护林带现有林地及公益林保护，调整森林结构，扩大水土保持林比例，提高水土保持功能；保护蓝色海岸生态</w:t>
      </w:r>
      <w:proofErr w:type="gramStart"/>
      <w:r>
        <w:rPr>
          <w:rFonts w:ascii="Times New Roman" w:eastAsia="仿宋_GB2312" w:hAnsi="Times New Roman" w:cs="Times New Roman" w:hint="eastAsia"/>
          <w:sz w:val="32"/>
          <w:szCs w:val="32"/>
        </w:rPr>
        <w:t>带重要</w:t>
      </w:r>
      <w:proofErr w:type="gramEnd"/>
      <w:r>
        <w:rPr>
          <w:rFonts w:ascii="Times New Roman" w:eastAsia="仿宋_GB2312" w:hAnsi="Times New Roman" w:cs="Times New Roman" w:hint="eastAsia"/>
          <w:sz w:val="32"/>
          <w:szCs w:val="32"/>
        </w:rPr>
        <w:t>的渔业海域和人工渔礁，整治不合理海岸工程，修复受损海岸景观，恢复自然岸线和河口滨海湿地海洋生态系统。</w:t>
      </w:r>
    </w:p>
    <w:p w:rsidR="00A765C5" w:rsidRDefault="00702EF7">
      <w:pPr>
        <w:snapToGrid w:val="0"/>
        <w:spacing w:line="600" w:lineRule="exact"/>
        <w:ind w:firstLineChars="200" w:firstLine="640"/>
        <w:rPr>
          <w:rFonts w:ascii="Times New Roman" w:eastAsia="仿宋_GB2312" w:hAnsi="Times New Roman" w:cs="Times New Roman"/>
          <w:sz w:val="32"/>
          <w:szCs w:val="32"/>
          <w:u w:val="single"/>
        </w:rPr>
      </w:pPr>
      <w:bookmarkStart w:id="494" w:name="_Toc27670"/>
      <w:bookmarkStart w:id="495" w:name="_Toc19691"/>
      <w:bookmarkStart w:id="496" w:name="_Toc13646"/>
      <w:bookmarkStart w:id="497" w:name="_Toc29213"/>
      <w:bookmarkStart w:id="498" w:name="_Toc3778"/>
      <w:bookmarkStart w:id="499" w:name="_Toc14964"/>
      <w:r>
        <w:rPr>
          <w:rFonts w:ascii="Times New Roman" w:eastAsia="仿宋_GB2312" w:hAnsi="Times New Roman" w:cs="Times New Roman" w:hint="eastAsia"/>
          <w:sz w:val="32"/>
          <w:szCs w:val="32"/>
        </w:rPr>
        <w:t>编织陆海联通的蓝绿生态廊道</w:t>
      </w:r>
      <w:bookmarkEnd w:id="494"/>
      <w:bookmarkEnd w:id="495"/>
      <w:bookmarkEnd w:id="496"/>
      <w:bookmarkEnd w:id="497"/>
      <w:bookmarkEnd w:id="498"/>
      <w:bookmarkEnd w:id="499"/>
      <w:r>
        <w:rPr>
          <w:rFonts w:ascii="Times New Roman" w:eastAsia="仿宋_GB2312" w:hAnsi="Times New Roman" w:cs="Times New Roman" w:hint="eastAsia"/>
          <w:sz w:val="32"/>
          <w:szCs w:val="32"/>
        </w:rPr>
        <w:t>。串联重要生态节点，形成低阻力的生物廊道，保障生态资源内部生态系统连续性。</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500" w:name="_Toc211"/>
      <w:bookmarkStart w:id="501" w:name="_Toc4778"/>
      <w:bookmarkStart w:id="502" w:name="_Toc28594"/>
      <w:bookmarkStart w:id="503" w:name="_Toc1195"/>
      <w:bookmarkStart w:id="504" w:name="_Toc31851"/>
      <w:bookmarkStart w:id="505" w:name="_Toc28124"/>
      <w:bookmarkStart w:id="506" w:name="_Toc13415"/>
      <w:r>
        <w:rPr>
          <w:rFonts w:ascii="Times New Roman" w:eastAsia="楷体_GB2312" w:hAnsi="Times New Roman" w:cs="Times New Roman" w:hint="eastAsia"/>
          <w:sz w:val="32"/>
          <w:szCs w:val="32"/>
        </w:rPr>
        <w:t>集聚城镇空间格局</w:t>
      </w:r>
      <w:bookmarkEnd w:id="500"/>
      <w:bookmarkEnd w:id="501"/>
      <w:bookmarkEnd w:id="502"/>
      <w:bookmarkEnd w:id="503"/>
      <w:bookmarkEnd w:id="504"/>
      <w:bookmarkEnd w:id="505"/>
      <w:bookmarkEnd w:id="50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优化形成“轴带驱动、极核引领、多点发展”的城镇空间格局。以沈丹和大丹通经济走廊构筑引领高质量发展的</w:t>
      </w:r>
      <w:r>
        <w:rPr>
          <w:rFonts w:ascii="Times New Roman" w:eastAsia="仿宋_GB2312" w:hAnsi="Times New Roman" w:cs="Times New Roman" w:hint="eastAsia"/>
          <w:sz w:val="32"/>
          <w:szCs w:val="32"/>
        </w:rPr>
        <w:t>T</w:t>
      </w:r>
      <w:proofErr w:type="gramStart"/>
      <w:r>
        <w:rPr>
          <w:rFonts w:ascii="Times New Roman" w:eastAsia="仿宋_GB2312" w:hAnsi="Times New Roman" w:cs="Times New Roman" w:hint="eastAsia"/>
          <w:sz w:val="32"/>
          <w:szCs w:val="32"/>
        </w:rPr>
        <w:t>形轴带</w:t>
      </w:r>
      <w:proofErr w:type="gramEnd"/>
      <w:r>
        <w:rPr>
          <w:rFonts w:ascii="Times New Roman" w:eastAsia="仿宋_GB2312" w:hAnsi="Times New Roman" w:cs="Times New Roman" w:hint="eastAsia"/>
          <w:sz w:val="32"/>
          <w:szCs w:val="32"/>
        </w:rPr>
        <w:t>，以沈丹高铁、沈丹高速、丹通高速、丹大快速铁路、东北东部铁路和丹通高铁等区域重大交通干线为依托，构建区域统筹协作的重要通道。以丹东都市区为极核，打造引领丹东开发开放的核心区域。以县城中心、产业园区、重点镇等为依托，形成市域城镇、产业网络化均衡布局的空间节点。</w:t>
      </w:r>
    </w:p>
    <w:p w:rsidR="00A765C5" w:rsidRDefault="00A765C5">
      <w:pPr>
        <w:pStyle w:val="a0"/>
        <w:ind w:left="0"/>
        <w:jc w:val="center"/>
        <w:rPr>
          <w:rFonts w:hint="default"/>
        </w:rPr>
      </w:pPr>
    </w:p>
    <w:p w:rsidR="00A765C5" w:rsidRDefault="00702EF7">
      <w:pPr>
        <w:pStyle w:val="a0"/>
        <w:ind w:left="0"/>
        <w:jc w:val="center"/>
        <w:rPr>
          <w:rFonts w:hint="default"/>
        </w:rPr>
      </w:pPr>
      <w:r>
        <w:rPr>
          <w:rFonts w:hint="default"/>
          <w:noProof/>
        </w:rPr>
        <mc:AlternateContent>
          <mc:Choice Requires="wps">
            <w:drawing>
              <wp:anchor distT="0" distB="0" distL="114300" distR="114300" simplePos="0" relativeHeight="251659264" behindDoc="0" locked="0" layoutInCell="1" allowOverlap="1">
                <wp:simplePos x="0" y="0"/>
                <wp:positionH relativeFrom="column">
                  <wp:posOffset>31750</wp:posOffset>
                </wp:positionH>
                <wp:positionV relativeFrom="paragraph">
                  <wp:posOffset>7185660</wp:posOffset>
                </wp:positionV>
                <wp:extent cx="2153920" cy="28829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153920" cy="288290"/>
                        </a:xfrm>
                        <a:prstGeom prst="rect">
                          <a:avLst/>
                        </a:prstGeom>
                        <a:noFill/>
                        <a:ln w="6350">
                          <a:noFill/>
                        </a:ln>
                        <a:effectLst/>
                      </wps:spPr>
                      <wps:txbx>
                        <w:txbxContent>
                          <w:p w:rsidR="00702EF7" w:rsidRDefault="00702EF7">
                            <w:pPr>
                              <w:widowControl/>
                              <w:adjustRightInd w:val="0"/>
                              <w:snapToGrid w:val="0"/>
                              <w:jc w:val="left"/>
                              <w:rPr>
                                <w:rFonts w:ascii="宋体" w:hAnsi="宋体" w:cs="宋体"/>
                                <w:sz w:val="18"/>
                                <w:szCs w:val="18"/>
                              </w:rPr>
                            </w:pPr>
                            <w:r>
                              <w:rPr>
                                <w:rFonts w:ascii="宋体" w:hAnsi="宋体" w:cs="宋体" w:hint="eastAsia"/>
                                <w:kern w:val="0"/>
                                <w:sz w:val="18"/>
                                <w:szCs w:val="18"/>
                              </w:rPr>
                              <w:t>审图号：辽 S（2024）001 号</w:t>
                            </w:r>
                          </w:p>
                          <w:p w:rsidR="00702EF7" w:rsidRDefault="00702EF7">
                            <w:pPr>
                              <w:adjustRightInd w:val="0"/>
                              <w:snapToGrid w:val="0"/>
                              <w:rPr>
                                <w:rFonts w:ascii="宋体" w:hAnsi="宋体" w:cs="宋体"/>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6" type="#_x0000_t202" style="position:absolute;left:0;text-align:left;margin-left:2.5pt;margin-top:565.8pt;width:169.6pt;height:22.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e4LQIAACgEAAAOAAAAZHJzL2Uyb0RvYy54bWysU8GO2jAQvVfqP1i+l0CALSDCiu6KqhLq&#10;rkSrno1jQyTb49qGhH5A+wd76qX3fhff0bEDLGp7qnpxxjMv45k3b6a3jVZkL5yvwBS01+lSIgyH&#10;sjKbgn78sHg1osQHZkqmwIiCHoSnt7OXL6a1nYgctqBK4QgmMX5S24JuQ7CTLPN8KzTzHbDCYFCC&#10;0yzg1W2y0rEas2uV5d3uTVaDK60DLrxH730bpLOUX0rBw4OUXgSiCoq1hXS6dK7jmc2mbLJxzG4r&#10;fiqD/UMVmlUGH72kumeBkZ2r/kilK+7AgwwdDjoDKSsuUg/YTa/7WzerLbMi9YLkeHuhyf+/tPz9&#10;/tGRqsTZ9SkxTOOMjk/fjt9/Hn98JehDgmrrJ4hbWUSG5g00CD77PTpj3410On6xI4JxpPpwoVc0&#10;gXB05r1hf5xjiGMsH43yceI/e/7bOh/eCtAkGgV1OL7EKtsvfcBKEHqGxMcMLCql0giVIXVBb/rD&#10;bvrhEsE/lIlYkcRwShM7aiuPVmjWzanNNZQH7NJBKxRv+aLCUpbMh0fmUBlYPao9POAhFeCTcLIo&#10;2YL78jd/xOPAMEpJjUorqP+8Y05Qot4ZHOW4NxhEaabLYPg6MuSuI+vriNnpO0Ax93CvLE9mxAd1&#10;NqUD/QmXYh5fxRAzHN8uaDibd6HVPy4VF/N5AqEYLQtLs7I8pm7Jne8CyCrxHmlqucEhxAvKMY3j&#10;tDpR79f3hHpe8NkvAAAA//8DAFBLAwQUAAYACAAAACEAYtfuvOIAAAALAQAADwAAAGRycy9kb3du&#10;cmV2LnhtbEyPzU7DMBCE70i8g7VI3KiT9FchTlVFqpAQHFp64baJt0lEvA6x2waeHvdUjjs7mvkm&#10;W4+mE2caXGtZQTyJQBBXVrdcKzh8bJ9WIJxH1thZJgU/5GCd399lmGp74R2d974WIYRdigoa7/tU&#10;Slc1ZNBNbE8cfkc7GPThHGqpB7yEcNPJJIoW0mDLoaHBnoqGqq/9ySh4LbbvuCsTs/rtipe346b/&#10;PnzOlXp8GDfPIDyN/maGK35AhzwwlfbE2olOwTws8UGOp/ECRDBMZ7MERHmVlssIZJ7J/xvyPwAA&#10;AP//AwBQSwECLQAUAAYACAAAACEAtoM4kv4AAADhAQAAEwAAAAAAAAAAAAAAAAAAAAAAW0NvbnRl&#10;bnRfVHlwZXNdLnhtbFBLAQItABQABgAIAAAAIQA4/SH/1gAAAJQBAAALAAAAAAAAAAAAAAAAAC8B&#10;AABfcmVscy8ucmVsc1BLAQItABQABgAIAAAAIQAcXEe4LQIAACgEAAAOAAAAAAAAAAAAAAAAAC4C&#10;AABkcnMvZTJvRG9jLnhtbFBLAQItABQABgAIAAAAIQBi1+684gAAAAsBAAAPAAAAAAAAAAAAAAAA&#10;AIcEAABkcnMvZG93bnJldi54bWxQSwUGAAAAAAQABADzAAAAlgUAAAAA&#10;" filled="f" stroked="f" strokeweight=".5pt">
                <v:textbox>
                  <w:txbxContent>
                    <w:p w:rsidR="00702EF7" w:rsidRDefault="00702EF7">
                      <w:pPr>
                        <w:widowControl/>
                        <w:adjustRightInd w:val="0"/>
                        <w:snapToGrid w:val="0"/>
                        <w:jc w:val="left"/>
                        <w:rPr>
                          <w:rFonts w:ascii="宋体" w:hAnsi="宋体" w:cs="宋体"/>
                          <w:sz w:val="18"/>
                          <w:szCs w:val="18"/>
                        </w:rPr>
                      </w:pPr>
                      <w:r>
                        <w:rPr>
                          <w:rFonts w:ascii="宋体" w:hAnsi="宋体" w:cs="宋体" w:hint="eastAsia"/>
                          <w:kern w:val="0"/>
                          <w:sz w:val="18"/>
                          <w:szCs w:val="18"/>
                        </w:rPr>
                        <w:t>审图号：辽 S（2024）001 号</w:t>
                      </w:r>
                    </w:p>
                    <w:p w:rsidR="00702EF7" w:rsidRDefault="00702EF7">
                      <w:pPr>
                        <w:adjustRightInd w:val="0"/>
                        <w:snapToGrid w:val="0"/>
                        <w:rPr>
                          <w:rFonts w:ascii="宋体" w:hAnsi="宋体" w:cs="宋体"/>
                          <w:sz w:val="18"/>
                          <w:szCs w:val="18"/>
                        </w:rPr>
                      </w:pPr>
                    </w:p>
                  </w:txbxContent>
                </v:textbox>
              </v:shape>
            </w:pict>
          </mc:Fallback>
        </mc:AlternateContent>
      </w:r>
      <w:r>
        <w:rPr>
          <w:rFonts w:hint="default"/>
          <w:noProof/>
        </w:rPr>
        <w:drawing>
          <wp:inline distT="0" distB="0" distL="114300" distR="114300">
            <wp:extent cx="5238115" cy="7105650"/>
            <wp:effectExtent l="0" t="0" r="635" b="0"/>
            <wp:docPr id="5" name="图片 5" descr="210600丹东市09市域国土空间总体格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10600丹东市09市域国土空间总体格局规划图"/>
                    <pic:cNvPicPr>
                      <a:picLocks noChangeAspect="1"/>
                    </pic:cNvPicPr>
                  </pic:nvPicPr>
                  <pic:blipFill>
                    <a:blip r:embed="rId12"/>
                    <a:srcRect b="4047"/>
                    <a:stretch>
                      <a:fillRect/>
                    </a:stretch>
                  </pic:blipFill>
                  <pic:spPr>
                    <a:xfrm>
                      <a:off x="0" y="0"/>
                      <a:ext cx="5238115" cy="7105650"/>
                    </a:xfrm>
                    <a:prstGeom prst="rect">
                      <a:avLst/>
                    </a:prstGeom>
                  </pic:spPr>
                </pic:pic>
              </a:graphicData>
            </a:graphic>
          </wp:inline>
        </w:drawing>
      </w:r>
    </w:p>
    <w:p w:rsidR="00A765C5" w:rsidRDefault="00A765C5">
      <w:pPr>
        <w:pStyle w:val="a4"/>
      </w:pPr>
    </w:p>
    <w:p w:rsidR="00A765C5" w:rsidRDefault="00A765C5">
      <w:pPr>
        <w:pStyle w:val="a4"/>
      </w:pPr>
    </w:p>
    <w:p w:rsidR="00A765C5" w:rsidRDefault="00A765C5">
      <w:pPr>
        <w:pStyle w:val="a4"/>
      </w:pPr>
    </w:p>
    <w:p w:rsidR="00A765C5" w:rsidRDefault="00A765C5">
      <w:pPr>
        <w:pStyle w:val="a4"/>
      </w:pPr>
    </w:p>
    <w:p w:rsidR="00A765C5" w:rsidRDefault="00A765C5">
      <w:pPr>
        <w:pStyle w:val="a4"/>
      </w:pPr>
    </w:p>
    <w:p w:rsidR="00A765C5" w:rsidRDefault="00702EF7" w:rsidP="006B5E5D">
      <w:pPr>
        <w:pStyle w:val="2"/>
        <w:numPr>
          <w:ilvl w:val="0"/>
          <w:numId w:val="5"/>
        </w:numPr>
        <w:snapToGrid w:val="0"/>
        <w:spacing w:beforeLines="50" w:before="156" w:afterLines="50" w:after="156" w:line="600" w:lineRule="exact"/>
        <w:jc w:val="center"/>
        <w:rPr>
          <w:rFonts w:ascii="Times New Roman" w:eastAsia="黑体" w:hAnsi="Times New Roman"/>
          <w:b w:val="0"/>
          <w:bCs w:val="0"/>
          <w:sz w:val="32"/>
        </w:rPr>
      </w:pPr>
      <w:bookmarkStart w:id="507" w:name="_Toc19192"/>
      <w:bookmarkStart w:id="508" w:name="_Toc24752"/>
      <w:bookmarkStart w:id="509" w:name="_Toc3852"/>
      <w:bookmarkStart w:id="510" w:name="_Toc13205"/>
      <w:bookmarkStart w:id="511" w:name="_Toc13027"/>
      <w:bookmarkStart w:id="512" w:name="_Toc25371"/>
      <w:bookmarkStart w:id="513" w:name="_Toc7271"/>
      <w:bookmarkStart w:id="514" w:name="_Toc22875"/>
      <w:bookmarkStart w:id="515" w:name="_Toc28517"/>
      <w:bookmarkStart w:id="516" w:name="_Toc30597"/>
      <w:r>
        <w:rPr>
          <w:rFonts w:ascii="Times New Roman" w:eastAsia="黑体" w:hAnsi="Times New Roman" w:hint="eastAsia"/>
          <w:b w:val="0"/>
          <w:bCs w:val="0"/>
          <w:sz w:val="32"/>
        </w:rPr>
        <w:lastRenderedPageBreak/>
        <w:t>统筹规划分区</w:t>
      </w:r>
      <w:bookmarkEnd w:id="507"/>
      <w:bookmarkEnd w:id="508"/>
      <w:bookmarkEnd w:id="509"/>
      <w:bookmarkEnd w:id="510"/>
      <w:bookmarkEnd w:id="511"/>
      <w:bookmarkEnd w:id="512"/>
      <w:bookmarkEnd w:id="513"/>
      <w:bookmarkEnd w:id="514"/>
      <w:bookmarkEnd w:id="515"/>
      <w:bookmarkEnd w:id="516"/>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517" w:name="_Toc19253"/>
      <w:bookmarkStart w:id="518" w:name="_Toc26217"/>
      <w:bookmarkStart w:id="519" w:name="_Toc17407"/>
      <w:bookmarkStart w:id="520" w:name="_Toc23918"/>
      <w:bookmarkStart w:id="521" w:name="_Toc9682"/>
      <w:bookmarkStart w:id="522" w:name="_Toc30525"/>
      <w:bookmarkStart w:id="523" w:name="_Toc18564"/>
      <w:bookmarkStart w:id="524" w:name="_Toc1989"/>
      <w:r>
        <w:rPr>
          <w:rFonts w:ascii="Times New Roman" w:eastAsia="楷体_GB2312" w:hAnsi="Times New Roman" w:cs="Times New Roman" w:hint="eastAsia"/>
          <w:sz w:val="32"/>
          <w:szCs w:val="32"/>
        </w:rPr>
        <w:t>生态保护区</w:t>
      </w:r>
      <w:bookmarkEnd w:id="517"/>
      <w:bookmarkEnd w:id="518"/>
      <w:bookmarkEnd w:id="519"/>
      <w:bookmarkEnd w:id="520"/>
      <w:bookmarkEnd w:id="521"/>
      <w:bookmarkEnd w:id="522"/>
      <w:bookmarkEnd w:id="523"/>
      <w:bookmarkEnd w:id="52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区内以提供生态系统服务和生态产品供给为主导用途，重点保护生态系统服务功能极重要区、生态极脆弱区、饮用水水源一级保护区及其他具有重要生态功能或潜在重要生态价值的区域，积极开展山水林田湖草海生态修复，提高区域涵养水源、保持水土、防风固沙、生物多样性维护及海岸防护能力，维持区域生态平衡。各类开发利用活动必须符合生态保护红线及自然保护地的有关管控要求，除国家重大战略项目外，自然保护地的核心保护区内原则上禁止人为活动，自然保护地的一般控制区和其他生态保护红线区域仅允许对生态功能不造成破坏的有限人为活动。如国家明确了转换规则和准入要求，则区内按照国家规定执行。</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525" w:name="_Toc9852"/>
      <w:bookmarkStart w:id="526" w:name="_Toc18148"/>
      <w:bookmarkStart w:id="527" w:name="_Toc13414"/>
      <w:bookmarkStart w:id="528" w:name="_Toc24904"/>
      <w:bookmarkStart w:id="529" w:name="_Toc15218"/>
      <w:bookmarkStart w:id="530" w:name="_Toc23886"/>
      <w:bookmarkStart w:id="531" w:name="_Toc16228"/>
      <w:bookmarkStart w:id="532" w:name="_Toc6056"/>
      <w:r>
        <w:rPr>
          <w:rFonts w:ascii="Times New Roman" w:eastAsia="楷体_GB2312" w:hAnsi="Times New Roman" w:cs="Times New Roman" w:hint="eastAsia"/>
          <w:sz w:val="32"/>
          <w:szCs w:val="32"/>
        </w:rPr>
        <w:t>生态控制区</w:t>
      </w:r>
      <w:bookmarkEnd w:id="525"/>
      <w:bookmarkEnd w:id="526"/>
      <w:bookmarkEnd w:id="527"/>
      <w:bookmarkEnd w:id="528"/>
      <w:bookmarkEnd w:id="529"/>
      <w:bookmarkEnd w:id="530"/>
      <w:bookmarkEnd w:id="531"/>
      <w:bookmarkEnd w:id="53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区由生态保护红线外，需要予以保留原貌、强化生态保护和生态建设、限制开发建设的自然区域组成。区内以生态保护与修复为主导用途。原则上限制各类新增加的开发建设行为以及种植、养殖活动，不得擅自改变地形地貌及其他原有状态；在不降低生态功能、不破坏生态系统且符合空间准入、强度控制和风貌管控要求，经评估对生态功能不产生破坏的前提下，可进行适度的开发利用和结构布局调整。如国家明确了转换规则和准入要求，则区内按照国家规定执行。</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533" w:name="_Toc32381"/>
      <w:bookmarkStart w:id="534" w:name="_Toc30465"/>
      <w:bookmarkStart w:id="535" w:name="_Toc29128"/>
      <w:bookmarkStart w:id="536" w:name="_Toc17197"/>
      <w:bookmarkStart w:id="537" w:name="_Toc12978"/>
      <w:bookmarkStart w:id="538" w:name="_Toc14073"/>
      <w:bookmarkStart w:id="539" w:name="_Toc22209"/>
      <w:bookmarkStart w:id="540" w:name="_Toc11655"/>
      <w:r>
        <w:rPr>
          <w:rFonts w:ascii="Times New Roman" w:eastAsia="楷体_GB2312" w:hAnsi="Times New Roman" w:cs="Times New Roman" w:hint="eastAsia"/>
          <w:sz w:val="32"/>
          <w:szCs w:val="32"/>
        </w:rPr>
        <w:lastRenderedPageBreak/>
        <w:t>农田保护区</w:t>
      </w:r>
      <w:bookmarkEnd w:id="533"/>
      <w:bookmarkEnd w:id="534"/>
      <w:bookmarkEnd w:id="535"/>
      <w:bookmarkEnd w:id="536"/>
      <w:bookmarkEnd w:id="537"/>
      <w:bookmarkEnd w:id="538"/>
      <w:bookmarkEnd w:id="539"/>
      <w:bookmarkEnd w:id="54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区由长期可稳定利用耕地分布集中度较高、优质耕地所占比例较大的永久基本农田组成。区内以粮食生产为主导用途，是基本农田保护和国土综合整治的重点区域。区内以大力发展粮食种植业为主，稳定粮食种植面积，提高粮食单产；鼓励开展高标准农田建设，完善灌溉与排水、田间道路、农田防护与生态环境保持等农业基础设施，强化土壤培肥，全面提升耕地质量；非农建设用地和其他零星农用地应当优先整理、复垦或调整为永久基本农田。原则上严禁开发建设活动，严格限制城镇和大中型工矿的新增非农建设；符合法定条件的重点项目难以避让永久基本农田的，必须进行严格论证并按照有关要求调整补划。如国家明确了转换规则和准入要求，则区内按照国家规定执行。</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541" w:name="_Toc25880"/>
      <w:bookmarkStart w:id="542" w:name="_Toc22330"/>
      <w:bookmarkStart w:id="543" w:name="_Toc27926"/>
      <w:bookmarkStart w:id="544" w:name="_Toc15720"/>
      <w:bookmarkStart w:id="545" w:name="_Toc32647"/>
      <w:bookmarkStart w:id="546" w:name="_Toc3872"/>
      <w:bookmarkStart w:id="547" w:name="_Toc15693"/>
      <w:bookmarkStart w:id="548" w:name="_Toc15542"/>
      <w:r>
        <w:rPr>
          <w:rFonts w:ascii="Times New Roman" w:eastAsia="楷体_GB2312" w:hAnsi="Times New Roman" w:cs="Times New Roman" w:hint="eastAsia"/>
          <w:sz w:val="32"/>
          <w:szCs w:val="32"/>
        </w:rPr>
        <w:t>城镇发展区</w:t>
      </w:r>
      <w:bookmarkEnd w:id="541"/>
      <w:bookmarkEnd w:id="542"/>
      <w:bookmarkEnd w:id="543"/>
      <w:bookmarkEnd w:id="544"/>
      <w:bookmarkEnd w:id="545"/>
      <w:bookmarkEnd w:id="546"/>
      <w:bookmarkEnd w:id="547"/>
      <w:bookmarkEnd w:id="54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本区由中心城区、县</w:t>
      </w:r>
      <w:proofErr w:type="gramStart"/>
      <w:r>
        <w:rPr>
          <w:rFonts w:ascii="Times New Roman" w:eastAsia="仿宋_GB2312" w:hAnsi="Times New Roman" w:cs="Times New Roman" w:hint="eastAsia"/>
          <w:sz w:val="32"/>
          <w:szCs w:val="32"/>
        </w:rPr>
        <w:t>域中心</w:t>
      </w:r>
      <w:proofErr w:type="gramEnd"/>
      <w:r>
        <w:rPr>
          <w:rFonts w:ascii="Times New Roman" w:eastAsia="仿宋_GB2312" w:hAnsi="Times New Roman" w:cs="Times New Roman" w:hint="eastAsia"/>
          <w:sz w:val="32"/>
          <w:szCs w:val="32"/>
        </w:rPr>
        <w:t>城区、建制镇、开发园区、工业集中区等城镇开发边界组成。区内以城镇发展为主导用途，是非农产业和人口集聚的重点区域，是开展城镇开发建设的核心区域。引导城镇和工业用地集中布局，通过调整城镇内部布局，完善城镇基础设施，改善城镇人居环境，促进建设用地集约利用。如国家明确了转换规则和准入要求，则区内按照国家规定执行。</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549" w:name="_Toc3946"/>
      <w:bookmarkStart w:id="550" w:name="_Toc29360"/>
      <w:bookmarkStart w:id="551" w:name="_Toc16716"/>
      <w:bookmarkStart w:id="552" w:name="_Toc19618"/>
      <w:bookmarkStart w:id="553" w:name="_Toc10068"/>
      <w:bookmarkStart w:id="554" w:name="_Toc15316"/>
      <w:bookmarkStart w:id="555" w:name="_Toc25933"/>
      <w:bookmarkStart w:id="556" w:name="_Toc29359"/>
      <w:r>
        <w:rPr>
          <w:rFonts w:ascii="Times New Roman" w:eastAsia="楷体_GB2312" w:hAnsi="Times New Roman" w:cs="Times New Roman" w:hint="eastAsia"/>
          <w:sz w:val="32"/>
          <w:szCs w:val="32"/>
        </w:rPr>
        <w:t>乡村发展区</w:t>
      </w:r>
      <w:bookmarkEnd w:id="549"/>
      <w:bookmarkEnd w:id="550"/>
      <w:bookmarkEnd w:id="551"/>
      <w:bookmarkEnd w:id="552"/>
      <w:bookmarkEnd w:id="553"/>
      <w:bookmarkEnd w:id="554"/>
      <w:bookmarkEnd w:id="555"/>
      <w:bookmarkEnd w:id="55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本区由农田保护区外，为满足农林牧渔等农业发展以及农民集中生活和生产配套为主的区域组成。区内以乡村振兴产业发展用地以及粮食生产、优质果品、畜禽产品等多样化农产品生产为主导用途。区内原则上禁止城镇集中建设，在不影响安全、不破坏环境的前提下允许必要的基础设施建设。村庄建设区应合理安排村庄建设用地规模，有效保障农民宅基地、村庄内部基础设施和公益事业用地、农村产业融合发展用地需要，有序开展集体经营性建设用地入市；鼓励对村庄建设用地进行整理，逐步整治空心村，腾挪空间用于支持农村产业融合发展和乡村振兴。一般农业区应保障设施农业发展用地，支持高效农业和生态观光农业发展；深化农用地整理，提升耕地等农用地质量。林业发展区应鼓励商品林建设，支持开展林业多种经营，发展林下经济。如国家明确了转换规则和准入要求，则区内按照国家规定执行。</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557" w:name="_Toc30456"/>
      <w:bookmarkStart w:id="558" w:name="_Toc19884"/>
      <w:bookmarkStart w:id="559" w:name="_Toc17414"/>
      <w:bookmarkStart w:id="560" w:name="_Toc6724"/>
      <w:bookmarkStart w:id="561" w:name="_Toc15875"/>
      <w:bookmarkStart w:id="562" w:name="_Toc29570"/>
      <w:bookmarkStart w:id="563" w:name="_Toc24519"/>
      <w:bookmarkStart w:id="564" w:name="_Toc3369"/>
      <w:r>
        <w:rPr>
          <w:rFonts w:ascii="Times New Roman" w:eastAsia="楷体_GB2312" w:hAnsi="Times New Roman" w:cs="Times New Roman" w:hint="eastAsia"/>
          <w:sz w:val="32"/>
          <w:szCs w:val="32"/>
        </w:rPr>
        <w:t>海洋发展区</w:t>
      </w:r>
      <w:bookmarkEnd w:id="557"/>
      <w:bookmarkEnd w:id="558"/>
      <w:bookmarkEnd w:id="559"/>
      <w:bookmarkEnd w:id="560"/>
      <w:bookmarkEnd w:id="561"/>
      <w:bookmarkEnd w:id="562"/>
      <w:bookmarkEnd w:id="563"/>
      <w:bookmarkEnd w:id="564"/>
    </w:p>
    <w:p w:rsidR="00A765C5" w:rsidRDefault="00702EF7">
      <w:pPr>
        <w:pStyle w:val="0"/>
        <w:ind w:firstLine="640"/>
        <w:jc w:val="both"/>
        <w:rPr>
          <w:rFonts w:eastAsia="仿宋_GB2312"/>
          <w:sz w:val="32"/>
          <w:szCs w:val="32"/>
        </w:rPr>
      </w:pPr>
      <w:r>
        <w:rPr>
          <w:rFonts w:eastAsia="仿宋_GB2312" w:hint="eastAsia"/>
          <w:sz w:val="32"/>
          <w:szCs w:val="32"/>
        </w:rPr>
        <w:t>本区由渔业用海、交通运输用海、工矿通信用海、</w:t>
      </w:r>
      <w:proofErr w:type="gramStart"/>
      <w:r>
        <w:rPr>
          <w:rFonts w:eastAsia="仿宋_GB2312" w:hint="eastAsia"/>
          <w:sz w:val="32"/>
          <w:szCs w:val="32"/>
        </w:rPr>
        <w:t>特殊用</w:t>
      </w:r>
      <w:proofErr w:type="gramEnd"/>
      <w:r>
        <w:rPr>
          <w:rFonts w:eastAsia="仿宋_GB2312" w:hint="eastAsia"/>
          <w:sz w:val="32"/>
          <w:szCs w:val="32"/>
        </w:rPr>
        <w:t>海以及游憩用海等海洋发展空间组成。区内优先保障国防安全、航路及海底电缆等线性工程。统筹规划海底光缆、电缆管道路由，禁止在海底电缆管道保护区内从事挖砂、钻探、打桩、抛锚、拖锚、</w:t>
      </w:r>
      <w:proofErr w:type="gramStart"/>
      <w:r>
        <w:rPr>
          <w:rFonts w:eastAsia="仿宋_GB2312" w:hint="eastAsia"/>
          <w:sz w:val="32"/>
          <w:szCs w:val="32"/>
        </w:rPr>
        <w:t>底拖捕捞</w:t>
      </w:r>
      <w:proofErr w:type="gramEnd"/>
      <w:r>
        <w:rPr>
          <w:rFonts w:eastAsia="仿宋_GB2312" w:hint="eastAsia"/>
          <w:sz w:val="32"/>
          <w:szCs w:val="32"/>
        </w:rPr>
        <w:t>、张网、养殖或者其他可能破坏海底电缆管道安全的海上作业。在不影响海域主导功能前提下，推进“主导功能</w:t>
      </w:r>
      <w:r>
        <w:rPr>
          <w:rFonts w:eastAsia="仿宋_GB2312" w:hint="eastAsia"/>
          <w:sz w:val="32"/>
          <w:szCs w:val="32"/>
        </w:rPr>
        <w:t>+</w:t>
      </w:r>
      <w:r>
        <w:rPr>
          <w:rFonts w:eastAsia="仿宋_GB2312" w:hint="eastAsia"/>
          <w:sz w:val="32"/>
          <w:szCs w:val="32"/>
        </w:rPr>
        <w:t>”的用海模式，兼容不对主导功能</w:t>
      </w:r>
      <w:r>
        <w:rPr>
          <w:rFonts w:eastAsia="仿宋_GB2312" w:hint="eastAsia"/>
          <w:sz w:val="32"/>
          <w:szCs w:val="32"/>
        </w:rPr>
        <w:lastRenderedPageBreak/>
        <w:t>造成影响的其他用海功能，提高海域利用效率。在主导功能尚未实现时，可继续保持现状用途，主导功能启用时，其他功能用海应按要求退出。如国家明确了转换规则和准入要求，则区内按照国家规定执行。</w:t>
      </w:r>
    </w:p>
    <w:p w:rsidR="00A765C5" w:rsidRDefault="00702EF7" w:rsidP="006B5E5D">
      <w:pPr>
        <w:numPr>
          <w:ilvl w:val="0"/>
          <w:numId w:val="2"/>
        </w:numPr>
        <w:snapToGrid w:val="0"/>
        <w:spacing w:beforeLines="50" w:before="156" w:afterLines="50" w:after="156" w:line="600" w:lineRule="exact"/>
        <w:ind w:firstLineChars="200" w:firstLine="640"/>
        <w:outlineLvl w:val="0"/>
        <w:rPr>
          <w:rFonts w:ascii="Times New Roman" w:eastAsia="楷体_GB2312" w:hAnsi="Times New Roman" w:cs="Times New Roman"/>
          <w:sz w:val="32"/>
          <w:szCs w:val="32"/>
        </w:rPr>
      </w:pPr>
      <w:bookmarkStart w:id="565" w:name="_Toc4823"/>
      <w:bookmarkStart w:id="566" w:name="_Toc9767"/>
      <w:bookmarkStart w:id="567" w:name="_Toc31125"/>
      <w:bookmarkStart w:id="568" w:name="_Toc26705"/>
      <w:bookmarkStart w:id="569" w:name="_Toc9156"/>
      <w:bookmarkStart w:id="570" w:name="_Toc26890"/>
      <w:bookmarkStart w:id="571" w:name="_Toc18666"/>
      <w:bookmarkStart w:id="572" w:name="_Toc16119"/>
      <w:r>
        <w:rPr>
          <w:rFonts w:ascii="Times New Roman" w:eastAsia="楷体_GB2312" w:hAnsi="Times New Roman" w:cs="Times New Roman" w:hint="eastAsia"/>
          <w:sz w:val="32"/>
          <w:szCs w:val="32"/>
        </w:rPr>
        <w:t>矿产能源发展区</w:t>
      </w:r>
      <w:bookmarkEnd w:id="565"/>
      <w:bookmarkEnd w:id="566"/>
      <w:bookmarkEnd w:id="567"/>
      <w:bookmarkEnd w:id="568"/>
      <w:bookmarkEnd w:id="569"/>
      <w:bookmarkEnd w:id="570"/>
      <w:bookmarkEnd w:id="571"/>
      <w:bookmarkEnd w:id="57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区由重要陆域采矿区、战略性矿产储量区等区域组成。区内以矿产资源开发为主导用途，是矿产资源的勘查、开采的重点区域，综合考虑战略性矿产资源产能产量、成矿条件和储量、资源开采条件、生态环境、区位条件和下游产业布局等，明确国家规划矿区，合理设定矿业权区域；引导矿产资源开采企业使用先进适用工艺技术，不断提高矿山开采回采率、选矿回收率、综合利用率，减少资源消耗，降低废弃物排放对环境的污染，大力建设绿色矿山。区内原则上禁止大规模城镇建设，允许开展土地复垦和其他土地整治工程，鼓励开展矿山生态修复。如国家明确了转换规则和准入要求，按照国家规定执行。</w:t>
      </w:r>
    </w:p>
    <w:p w:rsidR="00A765C5" w:rsidRDefault="00A765C5">
      <w:pPr>
        <w:snapToGrid w:val="0"/>
        <w:spacing w:line="600" w:lineRule="exact"/>
        <w:ind w:firstLineChars="200" w:firstLine="640"/>
        <w:rPr>
          <w:rFonts w:ascii="Times New Roman" w:eastAsia="仿宋_GB2312" w:hAnsi="Times New Roman" w:cs="Times New Roman"/>
          <w:sz w:val="32"/>
          <w:szCs w:val="32"/>
        </w:rPr>
        <w:sectPr w:rsidR="00A765C5">
          <w:pgSz w:w="11850" w:h="16783"/>
          <w:pgMar w:top="1440" w:right="1800" w:bottom="1440" w:left="1800" w:header="720" w:footer="720" w:gutter="0"/>
          <w:cols w:space="720"/>
          <w:docGrid w:type="lines" w:linePitch="312"/>
        </w:sectPr>
      </w:pP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573" w:name="_Toc570"/>
      <w:bookmarkStart w:id="574" w:name="_Toc2994"/>
      <w:bookmarkStart w:id="575" w:name="_Toc11919"/>
      <w:bookmarkStart w:id="576" w:name="_Toc28829"/>
      <w:bookmarkStart w:id="577" w:name="_Toc12273"/>
      <w:bookmarkStart w:id="578" w:name="_Toc7216"/>
      <w:bookmarkStart w:id="579" w:name="_Toc14057"/>
      <w:bookmarkStart w:id="580" w:name="_Toc17732"/>
      <w:bookmarkStart w:id="581" w:name="_Toc31550"/>
      <w:bookmarkStart w:id="582" w:name="_Toc13934"/>
      <w:bookmarkStart w:id="583" w:name="_Toc3179"/>
      <w:bookmarkStart w:id="584" w:name="_Toc13694"/>
      <w:bookmarkStart w:id="585" w:name="_Toc10389"/>
      <w:bookmarkStart w:id="586" w:name="_Toc23593"/>
      <w:bookmarkEnd w:id="373"/>
      <w:bookmarkEnd w:id="374"/>
      <w:r>
        <w:rPr>
          <w:rFonts w:ascii="Times New Roman" w:eastAsia="方正小标宋_GBK" w:hAnsi="Times New Roman" w:cs="Times New Roman" w:hint="eastAsia"/>
          <w:b w:val="0"/>
          <w:sz w:val="36"/>
          <w:szCs w:val="36"/>
        </w:rPr>
        <w:lastRenderedPageBreak/>
        <w:t>严格管护农业空间</w:t>
      </w:r>
      <w:bookmarkEnd w:id="573"/>
      <w:bookmarkEnd w:id="574"/>
      <w:bookmarkEnd w:id="575"/>
      <w:bookmarkEnd w:id="576"/>
      <w:bookmarkEnd w:id="577"/>
      <w:bookmarkEnd w:id="578"/>
      <w:r>
        <w:rPr>
          <w:rFonts w:ascii="Times New Roman" w:eastAsia="方正小标宋_GBK" w:hAnsi="Times New Roman" w:cs="Times New Roman" w:hint="eastAsia"/>
          <w:b w:val="0"/>
          <w:sz w:val="36"/>
          <w:szCs w:val="36"/>
        </w:rPr>
        <w:t>，支持乡村振兴发展</w:t>
      </w:r>
      <w:bookmarkEnd w:id="579"/>
      <w:bookmarkEnd w:id="580"/>
      <w:bookmarkEnd w:id="581"/>
      <w:bookmarkEnd w:id="582"/>
      <w:bookmarkEnd w:id="583"/>
      <w:bookmarkEnd w:id="584"/>
      <w:bookmarkEnd w:id="585"/>
      <w:bookmarkEnd w:id="586"/>
    </w:p>
    <w:p w:rsidR="00A765C5" w:rsidRDefault="00702EF7" w:rsidP="006B5E5D">
      <w:pPr>
        <w:pStyle w:val="2"/>
        <w:numPr>
          <w:ilvl w:val="0"/>
          <w:numId w:val="6"/>
        </w:numPr>
        <w:snapToGrid w:val="0"/>
        <w:spacing w:beforeLines="50" w:before="156" w:afterLines="50" w:after="156" w:line="600" w:lineRule="exact"/>
        <w:jc w:val="center"/>
        <w:rPr>
          <w:rFonts w:ascii="Times New Roman" w:eastAsia="黑体" w:hAnsi="Times New Roman"/>
          <w:b w:val="0"/>
          <w:bCs w:val="0"/>
          <w:sz w:val="32"/>
        </w:rPr>
      </w:pPr>
      <w:bookmarkStart w:id="587" w:name="_Toc24046"/>
      <w:bookmarkStart w:id="588" w:name="_Toc7310"/>
      <w:bookmarkStart w:id="589" w:name="_Toc5102"/>
      <w:bookmarkStart w:id="590" w:name="_Toc16887"/>
      <w:bookmarkStart w:id="591" w:name="_Toc12759"/>
      <w:bookmarkStart w:id="592" w:name="_Toc20296"/>
      <w:bookmarkStart w:id="593" w:name="_Toc27099"/>
      <w:bookmarkStart w:id="594" w:name="_Toc26513"/>
      <w:bookmarkStart w:id="595" w:name="_Toc941"/>
      <w:bookmarkStart w:id="596" w:name="_Toc4268"/>
      <w:r>
        <w:rPr>
          <w:rFonts w:ascii="Times New Roman" w:eastAsia="黑体" w:hAnsi="Times New Roman" w:hint="eastAsia"/>
          <w:b w:val="0"/>
          <w:bCs w:val="0"/>
          <w:sz w:val="32"/>
        </w:rPr>
        <w:t>耕地数量保护和</w:t>
      </w:r>
      <w:bookmarkEnd w:id="587"/>
      <w:bookmarkEnd w:id="588"/>
      <w:bookmarkEnd w:id="589"/>
      <w:r>
        <w:rPr>
          <w:rFonts w:ascii="Times New Roman" w:eastAsia="黑体" w:hAnsi="Times New Roman" w:hint="eastAsia"/>
          <w:b w:val="0"/>
          <w:bCs w:val="0"/>
          <w:sz w:val="32"/>
        </w:rPr>
        <w:t>质量提升</w:t>
      </w:r>
      <w:bookmarkEnd w:id="590"/>
      <w:bookmarkEnd w:id="591"/>
      <w:bookmarkEnd w:id="592"/>
      <w:bookmarkEnd w:id="593"/>
      <w:bookmarkEnd w:id="594"/>
      <w:bookmarkEnd w:id="595"/>
      <w:bookmarkEnd w:id="596"/>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597" w:name="_Toc14224"/>
      <w:bookmarkStart w:id="598" w:name="_Toc10033"/>
      <w:bookmarkStart w:id="599" w:name="_Toc17377"/>
      <w:bookmarkStart w:id="600" w:name="_Toc15494"/>
      <w:bookmarkStart w:id="601" w:name="_Toc22338"/>
      <w:bookmarkStart w:id="602" w:name="_Toc7829"/>
      <w:bookmarkStart w:id="603" w:name="_Toc21785"/>
      <w:r>
        <w:rPr>
          <w:rFonts w:ascii="Times New Roman" w:eastAsia="楷体_GB2312" w:hAnsi="Times New Roman" w:cs="Times New Roman" w:hint="eastAsia"/>
          <w:sz w:val="32"/>
          <w:szCs w:val="32"/>
        </w:rPr>
        <w:t>严格耕地数量保护</w:t>
      </w:r>
      <w:bookmarkEnd w:id="597"/>
      <w:bookmarkEnd w:id="598"/>
      <w:bookmarkEnd w:id="599"/>
      <w:bookmarkEnd w:id="600"/>
      <w:bookmarkEnd w:id="601"/>
      <w:bookmarkEnd w:id="602"/>
      <w:bookmarkEnd w:id="60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全面落实耕地保有量。全面落实上级下达的耕地保有量，严格实行耕地用途管制，深入推进农村乱占耕地建房专项整治行动，坚决遏制耕地“非农化”、严格管控“非粮化”，确保可以长期稳定利用耕地得到有效保护。规划期间，丹东市耕地保有量不低于</w:t>
      </w:r>
      <w:r>
        <w:rPr>
          <w:rFonts w:ascii="Times New Roman" w:eastAsia="仿宋_GB2312" w:hAnsi="Times New Roman" w:cs="Times New Roman" w:hint="eastAsia"/>
          <w:sz w:val="32"/>
          <w:szCs w:val="32"/>
        </w:rPr>
        <w:t>2387.65</w:t>
      </w:r>
      <w:r>
        <w:rPr>
          <w:rFonts w:ascii="Times New Roman" w:eastAsia="仿宋_GB2312" w:hAnsi="Times New Roman" w:cs="Times New Roman" w:hint="eastAsia"/>
          <w:sz w:val="32"/>
          <w:szCs w:val="32"/>
        </w:rPr>
        <w:t>平方千米（</w:t>
      </w:r>
      <w:r>
        <w:rPr>
          <w:rFonts w:ascii="Times New Roman" w:eastAsia="仿宋_GB2312" w:hAnsi="Times New Roman" w:cs="Times New Roman" w:hint="eastAsia"/>
          <w:sz w:val="32"/>
          <w:szCs w:val="32"/>
        </w:rPr>
        <w:t>358.15</w:t>
      </w:r>
      <w:r>
        <w:rPr>
          <w:rFonts w:ascii="Times New Roman" w:eastAsia="仿宋_GB2312" w:hAnsi="Times New Roman" w:cs="Times New Roman" w:hint="eastAsia"/>
          <w:sz w:val="32"/>
          <w:szCs w:val="32"/>
        </w:rPr>
        <w:t>万亩）。</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实施耕地年度“进出平衡”。加强耕地用途管制，严格落实耕地利用优先序。积极引导耕地主要用于粮食、棉、油、糖、蔬菜等农产品及饲草饲料生产，永久基本农田重点用于粮食生产，高标准农田原则上全部用于粮食生产。严格控制耕地转为其他农用地。以年度国土变更调查为基础，耕地转为林地、草地、园地等其他类型农用地及农业设施建设用地，应当补足同等数量、质量的可以长期稳定利用耕地，落实耕地年度进出平衡。</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严格落实耕地“占补平衡”。严格控制非农建设占用耕地的规模和速度，引导各类非农建设选址布局尽量不占或少占耕地，特别是永久基本农田，确需占用耕地的应尽量占用低等别耕地，且必须以补定占、先补后占、占一补一、占优补优、占水田补水田，做到补充的耕地数量相等、质量相当、</w:t>
      </w:r>
      <w:r>
        <w:rPr>
          <w:rFonts w:ascii="Times New Roman" w:eastAsia="仿宋_GB2312" w:hAnsi="Times New Roman" w:cs="Times New Roman" w:hint="eastAsia"/>
          <w:sz w:val="32"/>
          <w:szCs w:val="32"/>
        </w:rPr>
        <w:lastRenderedPageBreak/>
        <w:t>产能不降，严禁占优补劣、占水田补旱地。</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604" w:name="_Toc6378"/>
      <w:bookmarkStart w:id="605" w:name="_Toc24618"/>
      <w:r>
        <w:rPr>
          <w:rFonts w:ascii="Times New Roman" w:eastAsia="仿宋_GB2312" w:hAnsi="Times New Roman" w:cs="Times New Roman" w:hint="eastAsia"/>
          <w:sz w:val="32"/>
          <w:szCs w:val="32"/>
        </w:rPr>
        <w:t>稳妥有序开展耕地恢复</w:t>
      </w:r>
      <w:bookmarkEnd w:id="604"/>
      <w:r>
        <w:rPr>
          <w:rFonts w:ascii="Times New Roman" w:eastAsia="仿宋_GB2312" w:hAnsi="Times New Roman" w:cs="Times New Roman" w:hint="eastAsia"/>
          <w:sz w:val="32"/>
          <w:szCs w:val="32"/>
        </w:rPr>
        <w:t>。根据耕地恢复资源潜力、经济社会发展条件、种植农作物生产周期、群众意愿等因素，合理确定耕地恢复计划和恢复时序</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序推进“三调”查清的“可恢复耕地”逐步复耕，并按照“大稳定、小调整”“先易后难、实事求是”原则，依法依规、稳妥有序地将具备条件的其他农用地复垦为耕地，在防止新增“非粮化”的基础上，逐步恢复流出耕地，稳妥有序推进耕地恢复工作。</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加强耕地后备资源储备</w:t>
      </w:r>
      <w:bookmarkEnd w:id="605"/>
      <w:r>
        <w:rPr>
          <w:rFonts w:ascii="Times New Roman" w:eastAsia="仿宋_GB2312" w:hAnsi="Times New Roman" w:cs="Times New Roman" w:hint="eastAsia"/>
          <w:sz w:val="32"/>
          <w:szCs w:val="32"/>
        </w:rPr>
        <w:t>。以增加有效耕地面积、提升耕地质量、提高土地利用率、落实耕地占补平衡，大力整理农用地和农村建设用地，积极复垦工矿废弃地，适度开发宜耕后备土地资源，稳步增加耕地面积，提升新增耕地的农业综合生产能力。</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06" w:name="_Toc31664"/>
      <w:bookmarkStart w:id="607" w:name="_Toc4297"/>
      <w:bookmarkStart w:id="608" w:name="_Toc2128"/>
      <w:bookmarkStart w:id="609" w:name="_Toc14544"/>
      <w:bookmarkStart w:id="610" w:name="_Toc17374"/>
      <w:bookmarkStart w:id="611" w:name="_Toc13979"/>
      <w:bookmarkStart w:id="612" w:name="_Toc30794"/>
      <w:bookmarkStart w:id="613" w:name="_Toc6447"/>
      <w:r>
        <w:rPr>
          <w:rFonts w:ascii="Times New Roman" w:eastAsia="楷体_GB2312" w:hAnsi="Times New Roman" w:cs="Times New Roman" w:hint="eastAsia"/>
          <w:sz w:val="32"/>
          <w:szCs w:val="32"/>
        </w:rPr>
        <w:t>切实加强耕地质量建设</w:t>
      </w:r>
      <w:bookmarkEnd w:id="606"/>
      <w:bookmarkEnd w:id="607"/>
      <w:bookmarkEnd w:id="608"/>
      <w:bookmarkEnd w:id="609"/>
      <w:bookmarkEnd w:id="610"/>
      <w:bookmarkEnd w:id="611"/>
      <w:bookmarkEnd w:id="612"/>
      <w:bookmarkEnd w:id="61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切实提升耕地质量。按照数量、质量和生态全面管护的要求，积极改造中低产田，通过高标准农田建设、农田水利设施建设、黑土地保护工程等措施提升耕地质量，补齐农业基础设施短板。开展退化耕地综合治理、污染耕地阻控修复等消除土壤障碍因素，采用有机肥料、生物防治等措施，增加农田土壤有机质含量。持续加大中低产田改造力度，提升耕地地力等级，改善耕地内在质量，增强耕地的基础地力，提高耕地的粮食综合生产能力。</w:t>
      </w:r>
      <w:r>
        <w:rPr>
          <w:rFonts w:ascii="Times New Roman" w:eastAsia="仿宋_GB2312" w:hAnsi="Times New Roman" w:cs="Times New Roman" w:hint="eastAsia"/>
          <w:sz w:val="32"/>
          <w:szCs w:val="32"/>
        </w:rPr>
        <w:t xml:space="preserve"> </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614" w:name="_Toc4554"/>
      <w:r>
        <w:rPr>
          <w:rFonts w:ascii="Times New Roman" w:eastAsia="仿宋_GB2312" w:hAnsi="Times New Roman" w:cs="Times New Roman" w:hint="eastAsia"/>
          <w:sz w:val="32"/>
          <w:szCs w:val="32"/>
        </w:rPr>
        <w:lastRenderedPageBreak/>
        <w:t>因地制宜优化耕地布局</w:t>
      </w:r>
      <w:bookmarkEnd w:id="614"/>
      <w:r>
        <w:rPr>
          <w:rFonts w:ascii="Times New Roman" w:eastAsia="仿宋_GB2312" w:hAnsi="Times New Roman" w:cs="Times New Roman" w:hint="eastAsia"/>
          <w:sz w:val="32"/>
          <w:szCs w:val="32"/>
        </w:rPr>
        <w:t>。基于自然地理格局，因地制宜按照耕地、园地、林地、草地的优先序，逐步通过实施耕地进出平衡，优化农用地空间布局。在确保耕地总量不减少的前提下，逐步调整不符合自然地理条件的土地利用方式，引导在陡坡山地上种植苗木、林木、草坪，将平原耕地种植苗木、林木、草坪的，逐步恢复为耕地。科学利用滩涂、盐碱地等发展设施农业，引导设施农业产能向非耕地区域适度转移。积极开展集中连片、规模化、现代化农田建设，促进优质耕地集中布局与现代农业生产经营方式相适应。</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15" w:name="_Toc15162"/>
      <w:bookmarkStart w:id="616" w:name="_Toc24341"/>
      <w:bookmarkStart w:id="617" w:name="_Toc5648"/>
      <w:bookmarkStart w:id="618" w:name="_Toc4952"/>
      <w:bookmarkStart w:id="619" w:name="_Toc19932"/>
      <w:bookmarkStart w:id="620" w:name="_Toc17204"/>
      <w:bookmarkStart w:id="621" w:name="_Toc4262"/>
      <w:bookmarkStart w:id="622" w:name="_Toc22289"/>
      <w:r>
        <w:rPr>
          <w:rFonts w:ascii="Times New Roman" w:eastAsia="楷体_GB2312" w:hAnsi="Times New Roman" w:cs="Times New Roman" w:hint="eastAsia"/>
          <w:sz w:val="32"/>
          <w:szCs w:val="32"/>
        </w:rPr>
        <w:t>加强永久基本农田建设</w:t>
      </w:r>
      <w:bookmarkEnd w:id="615"/>
      <w:bookmarkEnd w:id="616"/>
      <w:bookmarkEnd w:id="617"/>
      <w:bookmarkEnd w:id="618"/>
      <w:bookmarkEnd w:id="619"/>
      <w:bookmarkEnd w:id="620"/>
      <w:bookmarkEnd w:id="621"/>
      <w:bookmarkEnd w:id="62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全面落实永久基本农田保护任务。稳定永久基本农田数量质量，逐步把永久基本农田全部建成高标准农田。重点保护面积大、集中连片、灌排条件良好、农业生产配套设施完善的粮、油、蔬菜生产基地内的永久基本农田，逐步提高永久基本农田中水田、水浇地的比例。科学划定粮食生产功能区和重要农产品生产保护区，优化玉米、水稻、大豆等大宗作物结构和布局，将粮食和重要农产品生产用地落实到永久基本农田图斑和地块，实行重点保护和建设，促进永久基本农田集中连片保护。</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完善永久基本农田储备区制度。结合重大建设项目、生态建设、灾害损毁等减少永久基本农田情况，确定永久基本农田储备区目标任务。将已建成的高标准农田、经土地综合</w:t>
      </w:r>
      <w:r>
        <w:rPr>
          <w:rFonts w:ascii="Times New Roman" w:eastAsia="仿宋_GB2312" w:hAnsi="Times New Roman" w:cs="Times New Roman" w:hint="eastAsia"/>
          <w:sz w:val="32"/>
          <w:szCs w:val="32"/>
        </w:rPr>
        <w:lastRenderedPageBreak/>
        <w:t>整治新增加的耕地、有良好水利与水土保持设施的耕地等优先划入储备区。储备区内耕地在补划为永久基本农田前按照一般耕地管理和使用，并根据补划永久基本农田和土地综合整治等新增加耕地情况，结合年度国土变更调查对永久基本农田储备区进行补充更新。</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23" w:name="_Toc6335"/>
      <w:bookmarkStart w:id="624" w:name="_Toc23193"/>
      <w:bookmarkStart w:id="625" w:name="_Toc23420"/>
      <w:bookmarkStart w:id="626" w:name="_Toc23212"/>
      <w:bookmarkStart w:id="627" w:name="_Toc15601"/>
      <w:bookmarkStart w:id="628" w:name="_Toc7569"/>
      <w:bookmarkStart w:id="629" w:name="_Toc17386"/>
      <w:bookmarkStart w:id="630" w:name="_Toc11812"/>
      <w:r>
        <w:rPr>
          <w:rFonts w:ascii="Times New Roman" w:eastAsia="楷体_GB2312" w:hAnsi="Times New Roman" w:cs="Times New Roman" w:hint="eastAsia"/>
          <w:sz w:val="32"/>
          <w:szCs w:val="32"/>
        </w:rPr>
        <w:t>大力推进黑土地保护</w:t>
      </w:r>
      <w:bookmarkEnd w:id="623"/>
      <w:bookmarkEnd w:id="624"/>
      <w:bookmarkEnd w:id="625"/>
      <w:bookmarkEnd w:id="626"/>
      <w:bookmarkEnd w:id="627"/>
      <w:bookmarkEnd w:id="628"/>
      <w:bookmarkEnd w:id="629"/>
      <w:bookmarkEnd w:id="63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建立健全黑土地调查监测制度。结合国土调查和年度变更调查，同步开展黑土地类型、分布、数量、质量等情况调查，将黑土地土壤性状、黑土层厚度、土壤侵蚀等情况纳入黑土地质量动态变化数据库，建立健全黑土地档案和黑土地质量监测网络。</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强化黑土地保护规划管控。编制黑土地保护专项规划，对黑土地进行科学分区，合理布局规划用途，明确保护范围、目标任务、技术模式、保障措施，将黑土地落实到具体地块并向社会公布，逐步将优质黑土地纳入永久基本农田实行特殊保护。</w:t>
      </w:r>
    </w:p>
    <w:p w:rsidR="00A765C5" w:rsidRDefault="00702EF7">
      <w:pPr>
        <w:pStyle w:val="0"/>
        <w:ind w:firstLine="640"/>
        <w:jc w:val="both"/>
        <w:rPr>
          <w:rFonts w:eastAsia="仿宋_GB2312"/>
          <w:sz w:val="32"/>
          <w:szCs w:val="32"/>
        </w:rPr>
      </w:pPr>
      <w:r>
        <w:rPr>
          <w:rFonts w:eastAsia="仿宋_GB2312" w:hint="eastAsia"/>
          <w:sz w:val="32"/>
          <w:szCs w:val="32"/>
        </w:rPr>
        <w:t>保护黑土地优良生产能力。严格控制黑土地数量减少，有序恢复和补充黑土地。加强黑土地农田基础设施建设，推广保护性耕作制度，协调黑土地保护与周边生态系统修复，防止黑土地退化，综合采取工程、农艺、生物等措施，确保黑土地总量不减少、功能不退化、质量有提升、产能可持续。</w:t>
      </w:r>
    </w:p>
    <w:p w:rsidR="00A765C5" w:rsidRDefault="00702EF7" w:rsidP="006B5E5D">
      <w:pPr>
        <w:pStyle w:val="2"/>
        <w:numPr>
          <w:ilvl w:val="0"/>
          <w:numId w:val="6"/>
        </w:numPr>
        <w:snapToGrid w:val="0"/>
        <w:spacing w:beforeLines="50" w:before="156" w:afterLines="50" w:after="156" w:line="600" w:lineRule="exact"/>
        <w:jc w:val="center"/>
        <w:rPr>
          <w:rFonts w:ascii="Times New Roman" w:eastAsia="黑体" w:hAnsi="Times New Roman"/>
          <w:b w:val="0"/>
          <w:bCs w:val="0"/>
          <w:sz w:val="32"/>
        </w:rPr>
      </w:pPr>
      <w:bookmarkStart w:id="631" w:name="_Toc25179"/>
      <w:bookmarkStart w:id="632" w:name="_Toc17690"/>
      <w:bookmarkStart w:id="633" w:name="_Toc2068"/>
      <w:bookmarkStart w:id="634" w:name="_Toc21302"/>
      <w:bookmarkStart w:id="635" w:name="_Toc13863"/>
      <w:r>
        <w:rPr>
          <w:rFonts w:ascii="Times New Roman" w:eastAsia="黑体" w:hAnsi="Times New Roman" w:hint="eastAsia"/>
          <w:b w:val="0"/>
          <w:bCs w:val="0"/>
          <w:sz w:val="32"/>
        </w:rPr>
        <w:t>积极拓展农产品生产空间</w:t>
      </w:r>
      <w:bookmarkEnd w:id="631"/>
      <w:bookmarkEnd w:id="632"/>
      <w:bookmarkEnd w:id="633"/>
      <w:bookmarkEnd w:id="634"/>
      <w:bookmarkEnd w:id="635"/>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36" w:name="_Toc16358"/>
      <w:bookmarkStart w:id="637" w:name="_Toc675"/>
      <w:bookmarkStart w:id="638" w:name="_Toc5792"/>
      <w:bookmarkStart w:id="639" w:name="_Toc13614"/>
      <w:bookmarkStart w:id="640" w:name="_Toc18131"/>
      <w:bookmarkStart w:id="641" w:name="_Toc17568"/>
      <w:bookmarkStart w:id="642" w:name="_Toc21427"/>
      <w:bookmarkStart w:id="643" w:name="_Toc30366"/>
      <w:r>
        <w:rPr>
          <w:rFonts w:ascii="Times New Roman" w:eastAsia="楷体_GB2312" w:hAnsi="Times New Roman" w:cs="Times New Roman" w:hint="eastAsia"/>
          <w:sz w:val="32"/>
          <w:szCs w:val="32"/>
        </w:rPr>
        <w:lastRenderedPageBreak/>
        <w:t>优先保障粮食生产空间</w:t>
      </w:r>
      <w:bookmarkEnd w:id="636"/>
      <w:bookmarkEnd w:id="637"/>
      <w:bookmarkEnd w:id="638"/>
      <w:bookmarkEnd w:id="639"/>
      <w:bookmarkEnd w:id="640"/>
      <w:bookmarkEnd w:id="641"/>
      <w:bookmarkEnd w:id="64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坚决贯彻“藏粮于地、藏粮于技”战略要求，加强种业科技创新，培育优质、高产、抗逆性强的作物品种；推广先进的农业机械和技术，加强农业信息化和智能化建设。以粮食生产功能区和重要农产品生产保护区为依托，在稳定南部粮食主产片区生产基础上，引导北部山区发展绿色复合型农业，改进优质耕地布局，促进永久基本农田集中连片保护，积极打造优质稻米、玉米、精品蔬菜等名优绿色农业生产基地，确保粮食生产安全供给。</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44" w:name="_Toc27509"/>
      <w:bookmarkStart w:id="645" w:name="_Toc15866"/>
      <w:bookmarkStart w:id="646" w:name="_Toc28598"/>
      <w:bookmarkStart w:id="647" w:name="_Toc17446"/>
      <w:bookmarkStart w:id="648" w:name="_Toc3628"/>
      <w:bookmarkStart w:id="649" w:name="_Toc19072"/>
      <w:bookmarkStart w:id="650" w:name="_Toc28908"/>
      <w:r>
        <w:rPr>
          <w:rFonts w:ascii="Times New Roman" w:eastAsia="楷体_GB2312" w:hAnsi="Times New Roman" w:cs="Times New Roman" w:hint="eastAsia"/>
          <w:sz w:val="32"/>
          <w:szCs w:val="32"/>
        </w:rPr>
        <w:t>有效保障都市农业生产空间</w:t>
      </w:r>
      <w:bookmarkEnd w:id="644"/>
      <w:bookmarkEnd w:id="645"/>
      <w:bookmarkEnd w:id="646"/>
      <w:bookmarkEnd w:id="647"/>
      <w:bookmarkEnd w:id="648"/>
      <w:bookmarkEnd w:id="649"/>
      <w:bookmarkEnd w:id="65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优先保护市域和县</w:t>
      </w:r>
      <w:proofErr w:type="gramStart"/>
      <w:r>
        <w:rPr>
          <w:rFonts w:ascii="Times New Roman" w:eastAsia="仿宋_GB2312" w:hAnsi="Times New Roman" w:cs="Times New Roman" w:hint="eastAsia"/>
          <w:sz w:val="32"/>
          <w:szCs w:val="32"/>
        </w:rPr>
        <w:t>域中心</w:t>
      </w:r>
      <w:proofErr w:type="gramEnd"/>
      <w:r>
        <w:rPr>
          <w:rFonts w:ascii="Times New Roman" w:eastAsia="仿宋_GB2312" w:hAnsi="Times New Roman" w:cs="Times New Roman" w:hint="eastAsia"/>
          <w:sz w:val="32"/>
          <w:szCs w:val="32"/>
        </w:rPr>
        <w:t>城区周边农村地区的耕地和永久基本农田以及其他优质农用地资源，结合实施“菜篮子工程”和城镇居民需求，因地制宜建设设施蔬菜基地、规模化畜禽养殖场、标准化水产健康养殖场等，提高生鲜农产品就近保供能力。</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51" w:name="_Toc22168"/>
      <w:bookmarkStart w:id="652" w:name="_Toc5082"/>
      <w:bookmarkStart w:id="653" w:name="_Toc15180"/>
      <w:bookmarkStart w:id="654" w:name="_Toc32380"/>
      <w:bookmarkStart w:id="655" w:name="_Toc7559"/>
      <w:bookmarkStart w:id="656" w:name="_Toc29276"/>
      <w:bookmarkStart w:id="657" w:name="_Toc23668"/>
      <w:r>
        <w:rPr>
          <w:rFonts w:ascii="Times New Roman" w:eastAsia="楷体_GB2312" w:hAnsi="Times New Roman" w:cs="Times New Roman" w:hint="eastAsia"/>
          <w:sz w:val="32"/>
          <w:szCs w:val="32"/>
        </w:rPr>
        <w:t>大力拓展多样化食物生产空间</w:t>
      </w:r>
      <w:bookmarkEnd w:id="651"/>
      <w:bookmarkEnd w:id="652"/>
      <w:bookmarkEnd w:id="653"/>
      <w:bookmarkEnd w:id="654"/>
      <w:bookmarkEnd w:id="655"/>
      <w:bookmarkEnd w:id="656"/>
      <w:bookmarkEnd w:id="65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引导农业结构高效调整。树立大食物观，在确保耕地进出平衡的前提下，将农产品生产空间从耕地向园地、商品林、设施农用地等其他类型国土空间拓展，有效提升多样化食物生产能力。</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优化果品生产空间。因地制宜调整园地种植结构，大力</w:t>
      </w:r>
      <w:r>
        <w:rPr>
          <w:rFonts w:ascii="Times New Roman" w:eastAsia="仿宋_GB2312" w:hAnsi="Times New Roman" w:cs="Times New Roman" w:hint="eastAsia"/>
          <w:sz w:val="32"/>
          <w:szCs w:val="32"/>
        </w:rPr>
        <w:lastRenderedPageBreak/>
        <w:t>发展草莓、蓝</w:t>
      </w:r>
      <w:proofErr w:type="gramStart"/>
      <w:r>
        <w:rPr>
          <w:rFonts w:ascii="Times New Roman" w:eastAsia="仿宋_GB2312" w:hAnsi="Times New Roman" w:cs="Times New Roman" w:hint="eastAsia"/>
          <w:sz w:val="32"/>
          <w:szCs w:val="32"/>
        </w:rPr>
        <w:t>莓</w:t>
      </w:r>
      <w:proofErr w:type="gramEnd"/>
      <w:r>
        <w:rPr>
          <w:rFonts w:ascii="Times New Roman" w:eastAsia="仿宋_GB2312" w:hAnsi="Times New Roman" w:cs="Times New Roman" w:hint="eastAsia"/>
          <w:sz w:val="32"/>
          <w:szCs w:val="32"/>
        </w:rPr>
        <w:t>、奇异</w:t>
      </w:r>
      <w:proofErr w:type="gramStart"/>
      <w:r>
        <w:rPr>
          <w:rFonts w:ascii="Times New Roman" w:eastAsia="仿宋_GB2312" w:hAnsi="Times New Roman" w:cs="Times New Roman" w:hint="eastAsia"/>
          <w:sz w:val="32"/>
          <w:szCs w:val="32"/>
        </w:rPr>
        <w:t>莓</w:t>
      </w:r>
      <w:proofErr w:type="gramEnd"/>
      <w:r>
        <w:rPr>
          <w:rFonts w:ascii="Times New Roman" w:eastAsia="仿宋_GB2312" w:hAnsi="Times New Roman" w:cs="Times New Roman" w:hint="eastAsia"/>
          <w:sz w:val="32"/>
          <w:szCs w:val="32"/>
        </w:rPr>
        <w:t>（软枣猕猴桃）等优质特色小浆果生产基地，重点保障丹东草莓生产用地需求，挖掘和打造特色农产品品牌，建设水果产业优势区。加强对中低产园地的改造，引导新建园地向立地条件适宜的坡地和荒山集中发展，稳步提高园地产能和效益。</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扩展森林立体生产空间。在严格保护生态环境的前提下，发挥丹东市丰富的森林资源优势，充分利用人工商品林、疏林地、灌木林地等适宜林地发展优质果品、林下中药材、食用菌、山野菜、花卉苗木、柞蚕、东北林蛙等特色农产品种植、养殖，推动林业空间复合利用，发挥林地经济、生态等综合效益，建设特色中药材产业区、</w:t>
      </w:r>
      <w:proofErr w:type="gramStart"/>
      <w:r>
        <w:rPr>
          <w:rFonts w:ascii="Times New Roman" w:eastAsia="仿宋_GB2312" w:hAnsi="Times New Roman" w:cs="Times New Roman" w:hint="eastAsia"/>
          <w:sz w:val="32"/>
          <w:szCs w:val="32"/>
        </w:rPr>
        <w:t>柞蝉业</w:t>
      </w:r>
      <w:proofErr w:type="gramEnd"/>
      <w:r>
        <w:rPr>
          <w:rFonts w:ascii="Times New Roman" w:eastAsia="仿宋_GB2312" w:hAnsi="Times New Roman" w:cs="Times New Roman" w:hint="eastAsia"/>
          <w:sz w:val="32"/>
          <w:szCs w:val="32"/>
        </w:rPr>
        <w:t>产业区。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扩大畜禽养殖空间。在符合生态环境保护要求的前提下，适度改造宜牧荒草地，积极发展农区畜牧业，优化畜禽、水产养殖产业结构与空间布局，重点保障肉鸡、蛋鸡、生猪、肉牛、奶牛的养殖空间，大力推进标准化、规模化、集约化养殖基地建设。</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保障特色渔业空间。积极发展淡水养殖、滩涂养殖、近海养殖，建设绿色有机水产养殖生产基地。推进海洋牧场建设，加快大东沟中心渔港和东港渔港经济区建设，打造丹东黄蚬子、丹东杂色</w:t>
      </w:r>
      <w:proofErr w:type="gramStart"/>
      <w:r>
        <w:rPr>
          <w:rFonts w:ascii="Times New Roman" w:eastAsia="仿宋_GB2312" w:hAnsi="Times New Roman" w:cs="Times New Roman" w:hint="eastAsia"/>
          <w:sz w:val="32"/>
          <w:szCs w:val="32"/>
        </w:rPr>
        <w:t>蛤</w:t>
      </w:r>
      <w:proofErr w:type="gramEnd"/>
      <w:r>
        <w:rPr>
          <w:rFonts w:ascii="Times New Roman" w:eastAsia="仿宋_GB2312" w:hAnsi="Times New Roman" w:cs="Times New Roman" w:hint="eastAsia"/>
          <w:sz w:val="32"/>
          <w:szCs w:val="32"/>
        </w:rPr>
        <w:t>等知名品牌。</w:t>
      </w:r>
    </w:p>
    <w:p w:rsidR="00A765C5" w:rsidRDefault="00702EF7" w:rsidP="006B5E5D">
      <w:pPr>
        <w:pStyle w:val="2"/>
        <w:numPr>
          <w:ilvl w:val="0"/>
          <w:numId w:val="6"/>
        </w:numPr>
        <w:snapToGrid w:val="0"/>
        <w:spacing w:beforeLines="50" w:before="156" w:afterLines="50" w:after="156" w:line="600" w:lineRule="exact"/>
        <w:jc w:val="center"/>
        <w:rPr>
          <w:rFonts w:ascii="Times New Roman" w:eastAsia="黑体" w:hAnsi="Times New Roman"/>
          <w:b w:val="0"/>
          <w:bCs w:val="0"/>
          <w:sz w:val="32"/>
        </w:rPr>
      </w:pPr>
      <w:bookmarkStart w:id="658" w:name="_Toc23868"/>
      <w:bookmarkStart w:id="659" w:name="_Toc27441"/>
      <w:bookmarkStart w:id="660" w:name="_Toc24873"/>
      <w:bookmarkStart w:id="661" w:name="_Toc22868"/>
      <w:bookmarkStart w:id="662" w:name="_Toc9648"/>
      <w:bookmarkStart w:id="663" w:name="_Toc14075"/>
      <w:bookmarkStart w:id="664" w:name="_Toc29894"/>
      <w:bookmarkStart w:id="665" w:name="_Toc3846"/>
      <w:bookmarkStart w:id="666" w:name="_Toc15208"/>
      <w:bookmarkStart w:id="667" w:name="_Toc14711"/>
      <w:bookmarkEnd w:id="643"/>
      <w:r>
        <w:rPr>
          <w:rFonts w:ascii="Times New Roman" w:eastAsia="黑体" w:hAnsi="Times New Roman" w:hint="eastAsia"/>
          <w:b w:val="0"/>
          <w:bCs w:val="0"/>
          <w:sz w:val="32"/>
        </w:rPr>
        <w:t>统筹安排乡村振兴空间</w:t>
      </w:r>
      <w:bookmarkEnd w:id="658"/>
      <w:bookmarkEnd w:id="659"/>
      <w:bookmarkEnd w:id="660"/>
      <w:bookmarkEnd w:id="661"/>
      <w:bookmarkEnd w:id="662"/>
      <w:bookmarkEnd w:id="663"/>
      <w:bookmarkEnd w:id="664"/>
      <w:bookmarkEnd w:id="665"/>
      <w:bookmarkEnd w:id="666"/>
      <w:bookmarkEnd w:id="667"/>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68" w:name="_Toc8068"/>
      <w:bookmarkStart w:id="669" w:name="_Toc16474"/>
      <w:bookmarkStart w:id="670" w:name="_Toc25427"/>
      <w:bookmarkStart w:id="671" w:name="_Toc29551"/>
      <w:bookmarkStart w:id="672" w:name="_Toc25146"/>
      <w:bookmarkStart w:id="673" w:name="_Toc30516"/>
      <w:bookmarkStart w:id="674" w:name="_Toc26084"/>
      <w:bookmarkStart w:id="675" w:name="_Toc2939"/>
      <w:r>
        <w:rPr>
          <w:rFonts w:ascii="Times New Roman" w:eastAsia="楷体_GB2312" w:hAnsi="Times New Roman" w:cs="Times New Roman" w:hint="eastAsia"/>
          <w:sz w:val="32"/>
          <w:szCs w:val="32"/>
        </w:rPr>
        <w:t>统筹优化全域村庄布局</w:t>
      </w:r>
      <w:bookmarkEnd w:id="668"/>
      <w:bookmarkEnd w:id="669"/>
      <w:bookmarkEnd w:id="670"/>
      <w:bookmarkEnd w:id="671"/>
      <w:bookmarkEnd w:id="672"/>
      <w:bookmarkEnd w:id="673"/>
      <w:bookmarkEnd w:id="67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顺应村庄发展规律，与生态空间和农业生产空间相统筹，与城镇体系和镇村布局体系相衔接，结合资源环境承载能力、村庄分布状况等，按照集聚建设、整治提升、城郊融合、特色保护、搬迁撤并的思路对全域村庄进行管控和引导，分类推进农村居民点优化布局，推进乡村振兴。</w:t>
      </w:r>
    </w:p>
    <w:tbl>
      <w:tblPr>
        <w:tblW w:w="8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6"/>
      </w:tblGrid>
      <w:tr w:rsidR="00A765C5">
        <w:trPr>
          <w:trHeight w:val="95"/>
        </w:trPr>
        <w:tc>
          <w:tcPr>
            <w:tcW w:w="8466" w:type="dxa"/>
            <w:noWrap/>
          </w:tcPr>
          <w:p w:rsidR="00A765C5" w:rsidRDefault="00702EF7">
            <w:pPr>
              <w:pStyle w:val="0"/>
              <w:numPr>
                <w:ilvl w:val="0"/>
                <w:numId w:val="7"/>
              </w:numPr>
              <w:spacing w:line="500" w:lineRule="exact"/>
              <w:ind w:firstLineChars="0" w:firstLine="0"/>
              <w:jc w:val="center"/>
              <w:rPr>
                <w:rFonts w:eastAsia="仿宋"/>
                <w:kern w:val="2"/>
                <w:sz w:val="32"/>
                <w:szCs w:val="32"/>
              </w:rPr>
            </w:pPr>
            <w:r>
              <w:rPr>
                <w:rFonts w:eastAsia="黑体" w:hint="eastAsia"/>
                <w:kern w:val="2"/>
                <w:sz w:val="30"/>
                <w:szCs w:val="30"/>
              </w:rPr>
              <w:t>村庄分类与建设指引</w:t>
            </w:r>
          </w:p>
        </w:tc>
      </w:tr>
      <w:tr w:rsidR="00A765C5">
        <w:tc>
          <w:tcPr>
            <w:tcW w:w="8466" w:type="dxa"/>
            <w:noWrap/>
          </w:tcPr>
          <w:p w:rsidR="00A765C5" w:rsidRDefault="00702EF7">
            <w:pPr>
              <w:pStyle w:val="0"/>
              <w:spacing w:line="400" w:lineRule="exact"/>
              <w:ind w:firstLine="480"/>
              <w:jc w:val="both"/>
              <w:rPr>
                <w:rFonts w:eastAsia="仿宋_GB2312"/>
                <w:kern w:val="2"/>
                <w:szCs w:val="24"/>
              </w:rPr>
            </w:pPr>
            <w:r>
              <w:rPr>
                <w:rFonts w:eastAsia="仿宋_GB2312" w:hint="eastAsia"/>
                <w:kern w:val="2"/>
                <w:szCs w:val="24"/>
              </w:rPr>
              <w:t>集聚建设类村庄：坚持保护优先、节约优先，配建补齐各类基础设施，加快人居环境整治，建设美丽宜居村庄。通过打造专业村庄，强化对周边村庄的辐射带动和示范作用，引导周边零散居民点向该类型村庄集聚。</w:t>
            </w:r>
          </w:p>
          <w:p w:rsidR="00A765C5" w:rsidRDefault="00702EF7">
            <w:pPr>
              <w:pStyle w:val="0"/>
              <w:spacing w:line="400" w:lineRule="exact"/>
              <w:ind w:firstLine="480"/>
              <w:jc w:val="both"/>
              <w:rPr>
                <w:rFonts w:eastAsia="仿宋_GB2312"/>
                <w:kern w:val="2"/>
                <w:szCs w:val="24"/>
              </w:rPr>
            </w:pPr>
            <w:r>
              <w:rPr>
                <w:rFonts w:eastAsia="仿宋_GB2312" w:hint="eastAsia"/>
                <w:kern w:val="2"/>
                <w:szCs w:val="24"/>
              </w:rPr>
              <w:t>整治提升类村庄：重点补齐村庄设施短板、强化村庄人居环境整治、保障村民合理建房需求、塑造乡村特色风貌，村庄建设以盘活存量用地为主。</w:t>
            </w:r>
          </w:p>
          <w:p w:rsidR="00A765C5" w:rsidRDefault="00702EF7">
            <w:pPr>
              <w:pStyle w:val="0"/>
              <w:spacing w:line="400" w:lineRule="exact"/>
              <w:ind w:firstLine="480"/>
              <w:jc w:val="both"/>
              <w:rPr>
                <w:rFonts w:eastAsia="仿宋_GB2312"/>
                <w:kern w:val="2"/>
                <w:szCs w:val="24"/>
              </w:rPr>
            </w:pPr>
            <w:r>
              <w:rPr>
                <w:rFonts w:eastAsia="仿宋_GB2312" w:hint="eastAsia"/>
                <w:kern w:val="2"/>
                <w:szCs w:val="24"/>
              </w:rPr>
              <w:t>城郊融合类村庄：以推动城乡产业融合发展、基础设施互联互通、公共服务设施共建共享为核心，提升人居环境品质，打造田园特质与城镇功能并存的“城市后花园”，促进城乡资金、技术、人才、管理等要素双向流动。</w:t>
            </w:r>
          </w:p>
          <w:p w:rsidR="00A765C5" w:rsidRDefault="00702EF7">
            <w:pPr>
              <w:pStyle w:val="0"/>
              <w:spacing w:line="400" w:lineRule="exact"/>
              <w:ind w:firstLine="480"/>
              <w:jc w:val="both"/>
              <w:rPr>
                <w:rFonts w:eastAsia="仿宋_GB2312"/>
                <w:kern w:val="2"/>
                <w:szCs w:val="24"/>
              </w:rPr>
            </w:pPr>
            <w:r>
              <w:rPr>
                <w:rFonts w:eastAsia="仿宋_GB2312" w:hint="eastAsia"/>
                <w:kern w:val="2"/>
                <w:szCs w:val="24"/>
              </w:rPr>
              <w:t>特色保护类村庄：统筹保护、利用与发展的关系，努力保持村庄的完整性、真实性和延续性。切实保护村庄的传统选址、格局、风貌以及自然和田园景观等整体空间形态与环境，全面保护文物古迹、历史建筑、传统民居等传统建筑。</w:t>
            </w:r>
          </w:p>
          <w:p w:rsidR="00A765C5" w:rsidRDefault="00702EF7">
            <w:pPr>
              <w:pStyle w:val="0"/>
              <w:spacing w:line="400" w:lineRule="exact"/>
              <w:ind w:firstLine="480"/>
              <w:jc w:val="both"/>
              <w:rPr>
                <w:rFonts w:eastAsia="仿宋_GB2312"/>
                <w:szCs w:val="24"/>
              </w:rPr>
            </w:pPr>
            <w:r>
              <w:rPr>
                <w:rFonts w:eastAsia="仿宋_GB2312" w:hint="eastAsia"/>
                <w:kern w:val="2"/>
                <w:szCs w:val="24"/>
              </w:rPr>
              <w:t>搬迁撤并类村庄：严格限制新建、扩建活动，统筹考虑拟迁入或新建村庄的基础设施和公共服务设施建设。</w:t>
            </w:r>
          </w:p>
        </w:tc>
      </w:tr>
    </w:tbl>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76" w:name="_Toc1707"/>
      <w:bookmarkStart w:id="677" w:name="_Toc9323"/>
      <w:bookmarkStart w:id="678" w:name="_Toc6111"/>
      <w:bookmarkStart w:id="679" w:name="_Toc26015"/>
      <w:bookmarkStart w:id="680" w:name="_Toc28729"/>
      <w:bookmarkStart w:id="681" w:name="_Toc22082"/>
      <w:bookmarkStart w:id="682" w:name="_Toc2025"/>
      <w:r>
        <w:rPr>
          <w:rFonts w:ascii="Times New Roman" w:eastAsia="楷体_GB2312" w:hAnsi="Times New Roman" w:cs="Times New Roman" w:hint="eastAsia"/>
          <w:sz w:val="32"/>
          <w:szCs w:val="32"/>
        </w:rPr>
        <w:t>推动宜</w:t>
      </w:r>
      <w:proofErr w:type="gramStart"/>
      <w:r>
        <w:rPr>
          <w:rFonts w:ascii="Times New Roman" w:eastAsia="楷体_GB2312" w:hAnsi="Times New Roman" w:cs="Times New Roman" w:hint="eastAsia"/>
          <w:sz w:val="32"/>
          <w:szCs w:val="32"/>
        </w:rPr>
        <w:t>居宜业</w:t>
      </w:r>
      <w:proofErr w:type="gramEnd"/>
      <w:r>
        <w:rPr>
          <w:rFonts w:ascii="Times New Roman" w:eastAsia="楷体_GB2312" w:hAnsi="Times New Roman" w:cs="Times New Roman" w:hint="eastAsia"/>
          <w:sz w:val="32"/>
          <w:szCs w:val="32"/>
        </w:rPr>
        <w:t>和美乡村建设</w:t>
      </w:r>
      <w:bookmarkEnd w:id="676"/>
      <w:bookmarkEnd w:id="677"/>
      <w:bookmarkEnd w:id="678"/>
      <w:bookmarkEnd w:id="679"/>
      <w:bookmarkEnd w:id="680"/>
      <w:bookmarkEnd w:id="681"/>
      <w:bookmarkEnd w:id="68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落实辽宁省推动美丽乡村建设相关要求，重点推进乡村振兴示范带、美丽宜居村、休闲旅游精品村的创建。</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深入推进农村人居环境整治，重点针对生活垃圾、污水治理、安全饮水改造等市政基础设施、村内道路、农房改造、环境卫生、村容村貌等要素提出整治措施。</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83" w:name="_Toc23037"/>
      <w:bookmarkStart w:id="684" w:name="_Toc3649"/>
      <w:bookmarkStart w:id="685" w:name="_Toc27495"/>
      <w:bookmarkStart w:id="686" w:name="_Toc13217"/>
      <w:bookmarkStart w:id="687" w:name="_Toc9078"/>
      <w:bookmarkStart w:id="688" w:name="_Toc23828"/>
      <w:bookmarkStart w:id="689" w:name="_Toc15843"/>
      <w:r>
        <w:rPr>
          <w:rFonts w:ascii="Times New Roman" w:eastAsia="楷体_GB2312" w:hAnsi="Times New Roman" w:cs="Times New Roman" w:hint="eastAsia"/>
          <w:sz w:val="32"/>
          <w:szCs w:val="32"/>
        </w:rPr>
        <w:t>合理控制村庄建设用地规模</w:t>
      </w:r>
      <w:bookmarkEnd w:id="683"/>
      <w:bookmarkEnd w:id="684"/>
      <w:bookmarkEnd w:id="685"/>
      <w:bookmarkEnd w:id="686"/>
      <w:bookmarkEnd w:id="687"/>
      <w:bookmarkEnd w:id="688"/>
      <w:bookmarkEnd w:id="689"/>
    </w:p>
    <w:p w:rsidR="00A765C5" w:rsidRDefault="00702EF7">
      <w:pPr>
        <w:snapToGrid w:val="0"/>
        <w:spacing w:line="600" w:lineRule="exact"/>
        <w:ind w:firstLineChars="200" w:firstLine="640"/>
        <w:rPr>
          <w:rFonts w:ascii="Times New Roman" w:hAnsi="Times New Roman" w:cs="Times New Roman"/>
        </w:rPr>
      </w:pPr>
      <w:r>
        <w:rPr>
          <w:rFonts w:ascii="Times New Roman" w:eastAsia="仿宋_GB2312" w:hAnsi="Times New Roman" w:cs="Times New Roman" w:hint="eastAsia"/>
          <w:sz w:val="32"/>
          <w:szCs w:val="32"/>
        </w:rPr>
        <w:lastRenderedPageBreak/>
        <w:t>分区分类编制村庄规划，合理划定村庄建设边界，控制村庄建设用地总量，重点保障农民建房、村庄内部基础设施和农村公益事业、农村二三产业发展用地，积极复垦、盘活存量集体建设用地，探索农村宅基地所有权、资格权、使用权分置实现形式，健全废弃集体公益性建设用地有偿处置政策，稳妥推进农村集体经营性建设用地入市。</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90" w:name="_Toc13804"/>
      <w:bookmarkStart w:id="691" w:name="_Toc5368"/>
      <w:bookmarkStart w:id="692" w:name="_Toc23807"/>
      <w:bookmarkStart w:id="693" w:name="_Toc1097"/>
      <w:bookmarkStart w:id="694" w:name="_Toc5787"/>
      <w:bookmarkStart w:id="695" w:name="_Toc29153"/>
      <w:bookmarkStart w:id="696" w:name="_Toc32592"/>
      <w:r>
        <w:rPr>
          <w:rFonts w:ascii="Times New Roman" w:eastAsia="楷体_GB2312" w:hAnsi="Times New Roman" w:cs="Times New Roman" w:hint="eastAsia"/>
          <w:sz w:val="32"/>
          <w:szCs w:val="32"/>
        </w:rPr>
        <w:t>优化配置农村产业融合发展空间</w:t>
      </w:r>
      <w:bookmarkEnd w:id="690"/>
      <w:bookmarkEnd w:id="691"/>
      <w:bookmarkEnd w:id="692"/>
      <w:bookmarkEnd w:id="693"/>
      <w:bookmarkEnd w:id="694"/>
      <w:bookmarkEnd w:id="695"/>
      <w:bookmarkEnd w:id="696"/>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统筹</w:t>
      </w:r>
      <w:r>
        <w:rPr>
          <w:rFonts w:ascii="Times New Roman" w:eastAsia="仿宋" w:hAnsi="Times New Roman" w:cs="Times New Roman" w:hint="eastAsia"/>
          <w:sz w:val="32"/>
          <w:szCs w:val="32"/>
        </w:rPr>
        <w:t>一二三产业融合发展</w:t>
      </w:r>
      <w:r>
        <w:rPr>
          <w:rFonts w:ascii="Times New Roman" w:eastAsia="仿宋_GB2312" w:hAnsi="Times New Roman" w:cs="Times New Roman" w:hint="eastAsia"/>
          <w:sz w:val="32"/>
          <w:szCs w:val="32"/>
        </w:rPr>
        <w:t>空间布局，以农业为依托延伸产业链。引导农产品初加工、产地直销等产业在村庄区位优势区域合理布局、适度集中。合理保障农产品加工流通、电子商务、冷链物流、乡村旅游、休闲农业、民宿经济等新产业、新业态用地需求。</w:t>
      </w:r>
      <w:r>
        <w:rPr>
          <w:rFonts w:ascii="Times New Roman" w:eastAsia="仿宋" w:hAnsi="Times New Roman" w:cs="Times New Roman" w:hint="eastAsia"/>
          <w:sz w:val="32"/>
          <w:szCs w:val="32"/>
        </w:rPr>
        <w:t>一二三产业融合发展</w:t>
      </w:r>
      <w:r>
        <w:rPr>
          <w:rFonts w:ascii="Times New Roman" w:eastAsia="仿宋_GB2312" w:hAnsi="Times New Roman" w:cs="Times New Roman" w:hint="eastAsia"/>
          <w:sz w:val="32"/>
          <w:szCs w:val="32"/>
        </w:rPr>
        <w:t>涉及的工业、商业等经营性项目应优先利用空闲地、村庄内部其他用地等闲置低效建设用地，鼓励对依法登记的宅基地进行混合利用，发展适合农村的产业或国家政策鼓励发展的第三产业。</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697" w:name="_Toc1114"/>
      <w:bookmarkStart w:id="698" w:name="_Toc3745"/>
      <w:bookmarkStart w:id="699" w:name="_Toc16138"/>
      <w:bookmarkStart w:id="700" w:name="_Toc19898"/>
      <w:bookmarkStart w:id="701" w:name="_Toc25411"/>
      <w:bookmarkStart w:id="702" w:name="_Toc8167"/>
      <w:bookmarkStart w:id="703" w:name="_Toc8272"/>
      <w:r>
        <w:rPr>
          <w:rFonts w:ascii="Times New Roman" w:eastAsia="楷体_GB2312" w:hAnsi="Times New Roman" w:cs="Times New Roman" w:hint="eastAsia"/>
          <w:sz w:val="32"/>
          <w:szCs w:val="32"/>
        </w:rPr>
        <w:t>合理安排农村居住空间</w:t>
      </w:r>
      <w:bookmarkEnd w:id="697"/>
      <w:bookmarkEnd w:id="698"/>
      <w:bookmarkEnd w:id="699"/>
      <w:bookmarkEnd w:id="700"/>
      <w:bookmarkEnd w:id="701"/>
      <w:bookmarkEnd w:id="702"/>
      <w:bookmarkEnd w:id="70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统筹安排宅基地用地规模和布局，满足合理的宅基地需求。鼓励农村住宅适度向中心村集中布局。新建农村住宅尽量利用存量建设用地和村内空闲地，不占或少占农用地特别是耕地。从严控制农民超用地标准建房，村内有空闲地、原有宅基地已达标的，不再安排新增农村宅基地。合理控制农村住房建筑高度，保持乡村建筑风貌特色。积极盘活闲置农</w:t>
      </w:r>
      <w:r>
        <w:rPr>
          <w:rFonts w:ascii="Times New Roman" w:eastAsia="仿宋_GB2312" w:hAnsi="Times New Roman" w:cs="Times New Roman" w:hint="eastAsia"/>
          <w:sz w:val="32"/>
          <w:szCs w:val="32"/>
        </w:rPr>
        <w:lastRenderedPageBreak/>
        <w:t>房，鼓励以出租、入股等方式发展创意办公、乡村旅游、休闲农业、民宿经济等新产业新业态。</w:t>
      </w:r>
      <w:bookmarkEnd w:id="675"/>
    </w:p>
    <w:p w:rsidR="00A765C5" w:rsidRDefault="00702EF7" w:rsidP="006B5E5D">
      <w:pPr>
        <w:pStyle w:val="2"/>
        <w:numPr>
          <w:ilvl w:val="0"/>
          <w:numId w:val="6"/>
        </w:numPr>
        <w:snapToGrid w:val="0"/>
        <w:spacing w:beforeLines="50" w:before="156" w:afterLines="50" w:after="156" w:line="600" w:lineRule="exact"/>
        <w:jc w:val="center"/>
        <w:rPr>
          <w:rFonts w:ascii="Times New Roman" w:eastAsia="黑体" w:hAnsi="Times New Roman"/>
          <w:b w:val="0"/>
          <w:bCs w:val="0"/>
          <w:sz w:val="32"/>
        </w:rPr>
      </w:pPr>
      <w:bookmarkStart w:id="704" w:name="_Toc28592"/>
      <w:bookmarkStart w:id="705" w:name="_Toc23276"/>
      <w:bookmarkStart w:id="706" w:name="_Toc14497"/>
      <w:bookmarkStart w:id="707" w:name="_Toc936"/>
      <w:bookmarkStart w:id="708" w:name="_Toc3256"/>
      <w:bookmarkStart w:id="709" w:name="_Toc7728"/>
      <w:bookmarkStart w:id="710" w:name="_Toc414"/>
      <w:bookmarkStart w:id="711" w:name="_Toc2456"/>
      <w:bookmarkStart w:id="712" w:name="_Toc18214"/>
      <w:bookmarkStart w:id="713" w:name="_Toc3206"/>
      <w:r>
        <w:rPr>
          <w:rFonts w:ascii="Times New Roman" w:eastAsia="黑体" w:hAnsi="Times New Roman" w:hint="eastAsia"/>
          <w:b w:val="0"/>
          <w:bCs w:val="0"/>
          <w:sz w:val="32"/>
        </w:rPr>
        <w:t>有效推动农村土地综合整治</w:t>
      </w:r>
      <w:bookmarkEnd w:id="704"/>
      <w:bookmarkEnd w:id="705"/>
      <w:bookmarkEnd w:id="706"/>
      <w:bookmarkEnd w:id="707"/>
      <w:bookmarkEnd w:id="708"/>
      <w:bookmarkEnd w:id="709"/>
      <w:bookmarkEnd w:id="710"/>
      <w:bookmarkEnd w:id="711"/>
      <w:bookmarkEnd w:id="712"/>
      <w:bookmarkEnd w:id="713"/>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14" w:name="_Toc20897"/>
      <w:bookmarkStart w:id="715" w:name="_Toc23529"/>
      <w:bookmarkStart w:id="716" w:name="_Toc20641"/>
      <w:bookmarkStart w:id="717" w:name="_Toc27258"/>
      <w:bookmarkStart w:id="718" w:name="_Toc21773"/>
      <w:bookmarkStart w:id="719" w:name="_Toc19962"/>
      <w:bookmarkStart w:id="720" w:name="_Toc458"/>
      <w:bookmarkStart w:id="721" w:name="_Toc9325"/>
      <w:r>
        <w:rPr>
          <w:rFonts w:ascii="Times New Roman" w:eastAsia="楷体_GB2312" w:hAnsi="Times New Roman" w:cs="Times New Roman" w:hint="eastAsia"/>
          <w:sz w:val="32"/>
          <w:szCs w:val="32"/>
        </w:rPr>
        <w:t>农用地整理</w:t>
      </w:r>
      <w:bookmarkEnd w:id="714"/>
      <w:bookmarkEnd w:id="715"/>
      <w:bookmarkEnd w:id="716"/>
      <w:bookmarkEnd w:id="717"/>
      <w:bookmarkEnd w:id="718"/>
      <w:bookmarkEnd w:id="719"/>
      <w:bookmarkEnd w:id="720"/>
      <w:bookmarkEnd w:id="721"/>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积极推进南部平原、北部山地河谷区的高标准农田建设；重点开展景观农业与生态农田建设工程；有序开展干旱灌溉和节水农业设施建设、小流域综合治理、农田防护林建设等农田提</w:t>
      </w:r>
      <w:proofErr w:type="gramStart"/>
      <w:r>
        <w:rPr>
          <w:rFonts w:ascii="Times New Roman" w:eastAsia="仿宋_GB2312" w:hAnsi="Times New Roman" w:cs="Times New Roman" w:hint="eastAsia"/>
          <w:sz w:val="32"/>
          <w:szCs w:val="32"/>
        </w:rPr>
        <w:t>质改造</w:t>
      </w:r>
      <w:proofErr w:type="gramEnd"/>
      <w:r>
        <w:rPr>
          <w:rFonts w:ascii="Times New Roman" w:eastAsia="仿宋_GB2312" w:hAnsi="Times New Roman" w:cs="Times New Roman" w:hint="eastAsia"/>
          <w:sz w:val="32"/>
          <w:szCs w:val="32"/>
        </w:rPr>
        <w:t>工程。改造和完善农业配套基础设施，改良土壤，完善农田水利设施，提高耕地质量，增加有效耕地面积，提高农业综合生产能力，改善农田生态环境。</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22" w:name="_Toc11491"/>
      <w:bookmarkStart w:id="723" w:name="_Toc23030"/>
      <w:bookmarkStart w:id="724" w:name="_Toc18222"/>
      <w:bookmarkStart w:id="725" w:name="_Toc24772"/>
      <w:bookmarkStart w:id="726" w:name="_Toc17528"/>
      <w:bookmarkStart w:id="727" w:name="_Toc4934"/>
      <w:bookmarkStart w:id="728" w:name="_Toc30860"/>
      <w:bookmarkStart w:id="729" w:name="_Toc11996"/>
      <w:r>
        <w:rPr>
          <w:rFonts w:ascii="Times New Roman" w:eastAsia="楷体_GB2312" w:hAnsi="Times New Roman" w:cs="Times New Roman" w:hint="eastAsia"/>
          <w:sz w:val="32"/>
          <w:szCs w:val="32"/>
        </w:rPr>
        <w:t>宜耕后备土地资源开发</w:t>
      </w:r>
      <w:bookmarkEnd w:id="722"/>
      <w:bookmarkEnd w:id="723"/>
      <w:bookmarkEnd w:id="724"/>
      <w:bookmarkEnd w:id="725"/>
      <w:bookmarkEnd w:id="726"/>
      <w:bookmarkEnd w:id="727"/>
      <w:bookmarkEnd w:id="728"/>
      <w:bookmarkEnd w:id="72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在保护和改善生态环境前提下，依据土地利用条件，有计划、有步骤地推进宜耕后备土地资源开发利用。重点对凤城市、东港市、宽甸满族自治县、振安区等宜耕后备土地资源，组织实施土地开发重大工程。</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30" w:name="_Toc15844"/>
      <w:bookmarkStart w:id="731" w:name="_Toc5845"/>
      <w:bookmarkStart w:id="732" w:name="_Toc4550"/>
      <w:bookmarkStart w:id="733" w:name="_Toc26744"/>
      <w:bookmarkStart w:id="734" w:name="_Toc21613"/>
      <w:bookmarkStart w:id="735" w:name="_Toc21978"/>
      <w:bookmarkStart w:id="736" w:name="_Toc8713"/>
      <w:bookmarkStart w:id="737" w:name="_Toc15952"/>
      <w:r>
        <w:rPr>
          <w:rFonts w:ascii="Times New Roman" w:eastAsia="楷体_GB2312" w:hAnsi="Times New Roman" w:cs="Times New Roman" w:hint="eastAsia"/>
          <w:sz w:val="32"/>
          <w:szCs w:val="32"/>
        </w:rPr>
        <w:t>农村建设用地整理</w:t>
      </w:r>
      <w:bookmarkEnd w:id="730"/>
      <w:bookmarkEnd w:id="731"/>
      <w:bookmarkEnd w:id="732"/>
      <w:bookmarkEnd w:id="733"/>
      <w:bookmarkEnd w:id="734"/>
      <w:bookmarkEnd w:id="735"/>
      <w:bookmarkEnd w:id="736"/>
      <w:bookmarkEnd w:id="737"/>
    </w:p>
    <w:p w:rsidR="00A765C5" w:rsidRDefault="00702EF7">
      <w:pPr>
        <w:snapToGrid w:val="0"/>
        <w:spacing w:line="600" w:lineRule="exact"/>
        <w:jc w:val="left"/>
        <w:rPr>
          <w:rFonts w:ascii="Times New Roman" w:eastAsia="仿宋" w:hAnsi="Times New Roman" w:cs="Times New Roman"/>
          <w:color w:val="FF0000"/>
          <w:sz w:val="32"/>
          <w:szCs w:val="32"/>
        </w:rPr>
      </w:pPr>
      <w:r>
        <w:rPr>
          <w:rFonts w:ascii="Times New Roman" w:eastAsia="仿宋_GB2312" w:hAnsi="Times New Roman" w:cs="Times New Roman" w:hint="eastAsia"/>
          <w:sz w:val="32"/>
          <w:szCs w:val="32"/>
        </w:rPr>
        <w:lastRenderedPageBreak/>
        <w:t>重点对东港市、凤城市、振安区开展农村建设用地整理，通过空心村治理与农村居民点迁并措施，优化农村建设用地布局，提高农村建设用地利用效率和集约化水平。在保障农民</w:t>
      </w:r>
      <w:r>
        <w:rPr>
          <w:rFonts w:ascii="Times New Roman" w:eastAsia="仿宋_GB2312" w:hAnsi="Times New Roman" w:cs="Times New Roman" w:hint="eastAsia"/>
          <w:sz w:val="32"/>
          <w:szCs w:val="32"/>
        </w:rPr>
        <w:lastRenderedPageBreak/>
        <w:t>安置、农村基础设施建设、公益事业等用地的前提下，腾出的建设用地优先用于支持一二三产融合发展和乡村振兴。</w:t>
      </w:r>
      <w:r>
        <w:rPr>
          <w:rFonts w:ascii="Times New Roman" w:eastAsia="仿宋" w:hAnsi="Times New Roman" w:cs="Times New Roman" w:hint="eastAsia"/>
          <w:noProof/>
          <w:color w:val="FF0000"/>
          <w:sz w:val="32"/>
          <w:szCs w:val="32"/>
        </w:rPr>
        <w:drawing>
          <wp:anchor distT="0" distB="0" distL="114300" distR="114300" simplePos="0" relativeHeight="251661312" behindDoc="0" locked="0" layoutInCell="1" allowOverlap="1">
            <wp:simplePos x="0" y="0"/>
            <wp:positionH relativeFrom="column">
              <wp:posOffset>-13335</wp:posOffset>
            </wp:positionH>
            <wp:positionV relativeFrom="paragraph">
              <wp:posOffset>-2540</wp:posOffset>
            </wp:positionV>
            <wp:extent cx="5232400" cy="7319645"/>
            <wp:effectExtent l="0" t="0" r="6350" b="5080"/>
            <wp:wrapTopAndBottom/>
            <wp:docPr id="10" name="图片 10" descr="210600丹东市14市域农（牧）业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10600丹东市14市域农（牧）业空间规划图"/>
                    <pic:cNvPicPr>
                      <a:picLocks noChangeAspect="1"/>
                    </pic:cNvPicPr>
                  </pic:nvPicPr>
                  <pic:blipFill>
                    <a:blip r:embed="rId13"/>
                    <a:stretch>
                      <a:fillRect/>
                    </a:stretch>
                  </pic:blipFill>
                  <pic:spPr>
                    <a:xfrm>
                      <a:off x="0" y="0"/>
                      <a:ext cx="5232400" cy="7319645"/>
                    </a:xfrm>
                    <a:prstGeom prst="rect">
                      <a:avLst/>
                    </a:prstGeom>
                  </pic:spPr>
                </pic:pic>
              </a:graphicData>
            </a:graphic>
          </wp:anchor>
        </w:drawing>
      </w:r>
    </w:p>
    <w:p w:rsidR="00A765C5" w:rsidRDefault="00A765C5"/>
    <w:bookmarkStart w:id="738" w:name="_Toc14344"/>
    <w:bookmarkStart w:id="739" w:name="_Toc3583"/>
    <w:bookmarkStart w:id="740" w:name="_Toc18801"/>
    <w:bookmarkStart w:id="741" w:name="_Toc1687"/>
    <w:bookmarkStart w:id="742" w:name="_Toc7764"/>
    <w:bookmarkStart w:id="743" w:name="_Toc26517"/>
    <w:bookmarkStart w:id="744" w:name="_Toc29289"/>
    <w:bookmarkStart w:id="745" w:name="_Toc4107"/>
    <w:bookmarkStart w:id="746" w:name="_Toc18941"/>
    <w:bookmarkStart w:id="747" w:name="_Toc24646"/>
    <w:bookmarkStart w:id="748" w:name="_Toc31560"/>
    <w:bookmarkStart w:id="749" w:name="_Toc20017"/>
    <w:bookmarkStart w:id="750" w:name="_Toc2808"/>
    <w:bookmarkStart w:id="751" w:name="_Toc19878"/>
    <w:p w:rsidR="00A765C5" w:rsidRDefault="00702EF7" w:rsidP="006B5E5D">
      <w:pPr>
        <w:pStyle w:val="1"/>
        <w:numPr>
          <w:ilvl w:val="255"/>
          <w:numId w:val="0"/>
        </w:numPr>
        <w:spacing w:afterLines="150" w:after="468" w:line="600" w:lineRule="exact"/>
        <w:jc w:val="both"/>
        <w:rPr>
          <w:rFonts w:ascii="Times New Roman" w:eastAsia="方正小标宋_GBK" w:hAnsi="Times New Roman" w:cs="Times New Roman"/>
          <w:b w:val="0"/>
          <w:sz w:val="36"/>
          <w:szCs w:val="36"/>
        </w:rPr>
        <w:sectPr w:rsidR="00A765C5">
          <w:pgSz w:w="11850" w:h="16783"/>
          <w:pgMar w:top="1440" w:right="1800" w:bottom="1440" w:left="1800" w:header="720" w:footer="720" w:gutter="0"/>
          <w:cols w:space="720"/>
          <w:docGrid w:type="lines" w:linePitch="312"/>
        </w:sectPr>
      </w:pPr>
      <w:r>
        <w:rPr>
          <w:noProof/>
          <w:sz w:val="28"/>
        </w:rPr>
        <mc:AlternateContent>
          <mc:Choice Requires="wps">
            <w:drawing>
              <wp:anchor distT="0" distB="0" distL="114300" distR="114300" simplePos="0" relativeHeight="251660288" behindDoc="0" locked="0" layoutInCell="1" allowOverlap="1">
                <wp:simplePos x="0" y="0"/>
                <wp:positionH relativeFrom="column">
                  <wp:posOffset>4165600</wp:posOffset>
                </wp:positionH>
                <wp:positionV relativeFrom="paragraph">
                  <wp:posOffset>6261100</wp:posOffset>
                </wp:positionV>
                <wp:extent cx="2153920" cy="288290"/>
                <wp:effectExtent l="932815" t="0" r="0" b="0"/>
                <wp:wrapNone/>
                <wp:docPr id="14" name="文本框 14"/>
                <wp:cNvGraphicFramePr/>
                <a:graphic xmlns:a="http://schemas.openxmlformats.org/drawingml/2006/main">
                  <a:graphicData uri="http://schemas.microsoft.com/office/word/2010/wordprocessingShape">
                    <wps:wsp>
                      <wps:cNvSpPr txBox="1"/>
                      <wps:spPr>
                        <a:xfrm rot="16200000">
                          <a:off x="0" y="0"/>
                          <a:ext cx="2153920" cy="288290"/>
                        </a:xfrm>
                        <a:prstGeom prst="rect">
                          <a:avLst/>
                        </a:prstGeom>
                        <a:noFill/>
                        <a:ln w="6350">
                          <a:noFill/>
                        </a:ln>
                        <a:effectLst/>
                      </wps:spPr>
                      <wps:txbx>
                        <w:txbxContent>
                          <w:p w:rsidR="00702EF7" w:rsidRDefault="00702EF7">
                            <w:pPr>
                              <w:widowControl/>
                              <w:adjustRightInd w:val="0"/>
                              <w:snapToGrid w:val="0"/>
                              <w:jc w:val="left"/>
                              <w:rPr>
                                <w:rFonts w:ascii="宋体" w:hAnsi="宋体" w:cs="宋体"/>
                                <w:sz w:val="18"/>
                                <w:szCs w:val="18"/>
                              </w:rPr>
                            </w:pPr>
                            <w:r>
                              <w:rPr>
                                <w:rFonts w:ascii="宋体" w:hAnsi="宋体" w:cs="宋体" w:hint="eastAsia"/>
                                <w:kern w:val="0"/>
                                <w:sz w:val="18"/>
                                <w:szCs w:val="18"/>
                              </w:rPr>
                              <w:t>审图号：辽 S（2024）001 号</w:t>
                            </w:r>
                          </w:p>
                          <w:p w:rsidR="00702EF7" w:rsidRDefault="00702EF7">
                            <w:pPr>
                              <w:adjustRightInd w:val="0"/>
                              <w:snapToGrid w:val="0"/>
                              <w:rPr>
                                <w:rFonts w:ascii="宋体" w:hAnsi="宋体" w:cs="宋体"/>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7" type="#_x0000_t202" style="position:absolute;left:0;text-align:left;margin-left:328pt;margin-top:493pt;width:169.6pt;height:22.7pt;rotation:-90;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vtLNgIAAD4EAAAOAAAAZHJzL2Uyb0RvYy54bWysU8GO0zAQvSPxD5bvNE22LW3VdFV2VYS0&#10;YlcqiLPrOG0kxza226R8APwBJy7c+a5+B89OWyrghMjBGs+8PM+8mZndtrUke2FdpVVO016fEqG4&#10;Liq1yen7d8sXY0qcZ6pgUiuR04Nw9Hb+/NmsMVOR6a2WhbAEJMpNG5PTrfdmmiSOb0XNXE8boRAs&#10;ta2Zx9VuksKyBuy1TLJ+f5Q02hbGai6cg/e+C9J55C9Lwf1jWTrhicwpcvPxtPFchzOZz9h0Y5nZ&#10;VvyUBvuHLGpWKTx6obpnnpGdrf6gqitutdOl73FdJ7osKy5iDagm7f9WzWrLjIi1QBxnLjK5/0fL&#10;3+6fLKkK9G5AiWI1enT8+uX47cfx+2cCHwRqjJsCtzJA+vaVbgE++x2coe62tDWxGvqmI/QFX5QD&#10;BRLAofzhorZoPeFwZunwZpIhxBHLxuNsEtuRdGSB1FjnXwtdk2Dk1KKbkZXtH5xHYoCeIQGu9LKS&#10;MnZUKtLkdHQz7NK4RPCHVAEr4mycaEKBXSHB8u267RQ5F7nWxQG1x/KQrzN8WSGjB+b8E7OYFzix&#10;A/4RRyk1XtYni5Kttp/+5g94tBFRShrMX07dxx2zghL5RqHBk3QwAK2Pl8HwZRDKXkfW1xG1q+80&#10;RjyN2UUz4L08m6XV9QesyiK8ihBTHG/n1J/NO99tBVaNi8UigjCihvkHtTI8UHcaL3Zel1WUP6jV&#10;aYNehAuGNHbltFBhC67vEfVr7ec/AQAA//8DAFBLAwQUAAYACAAAACEAA3dobuAAAAAMAQAADwAA&#10;AGRycy9kb3ducmV2LnhtbEyPwU7DMAyG70i8Q2QkbixthyAtTacJCU0cOFCQ4Jg2pi00TtVkW8fT&#10;Y05w+y1/+v253CxuFAecw+BJQ7pKQCC13g7UaXh9ebhSIEI0ZM3oCTWcMMCmOj8rTWH9kZ7xUMdO&#10;cAmFwmjoY5wKKUPbozNh5Sck3n342ZnI49xJO5sjl7tRZklyI50ZiC/0ZsL7Htuveu80fLrQ5Oob&#10;07ft7uSyp/p9etx5rS8vlu0diIhL/IPhV5/VoWKnxu/JBjFqUEmWM8phnacgmFDXag2iYTS95SSr&#10;Uv5/ovoBAAD//wMAUEsBAi0AFAAGAAgAAAAhALaDOJL+AAAA4QEAABMAAAAAAAAAAAAAAAAAAAAA&#10;AFtDb250ZW50X1R5cGVzXS54bWxQSwECLQAUAAYACAAAACEAOP0h/9YAAACUAQAACwAAAAAAAAAA&#10;AAAAAAAvAQAAX3JlbHMvLnJlbHNQSwECLQAUAAYACAAAACEAWgr7SzYCAAA+BAAADgAAAAAAAAAA&#10;AAAAAAAuAgAAZHJzL2Uyb0RvYy54bWxQSwECLQAUAAYACAAAACEAA3dobuAAAAAMAQAADwAAAAAA&#10;AAAAAAAAAACQBAAAZHJzL2Rvd25yZXYueG1sUEsFBgAAAAAEAAQA8wAAAJ0FAAAAAA==&#10;" filled="f" stroked="f" strokeweight=".5pt">
                <v:textbox>
                  <w:txbxContent>
                    <w:p w:rsidR="00702EF7" w:rsidRDefault="00702EF7">
                      <w:pPr>
                        <w:widowControl/>
                        <w:adjustRightInd w:val="0"/>
                        <w:snapToGrid w:val="0"/>
                        <w:jc w:val="left"/>
                        <w:rPr>
                          <w:rFonts w:ascii="宋体" w:hAnsi="宋体" w:cs="宋体"/>
                          <w:sz w:val="18"/>
                          <w:szCs w:val="18"/>
                        </w:rPr>
                      </w:pPr>
                      <w:r>
                        <w:rPr>
                          <w:rFonts w:ascii="宋体" w:hAnsi="宋体" w:cs="宋体" w:hint="eastAsia"/>
                          <w:kern w:val="0"/>
                          <w:sz w:val="18"/>
                          <w:szCs w:val="18"/>
                        </w:rPr>
                        <w:t>审图号：辽 S（2024）001 号</w:t>
                      </w:r>
                    </w:p>
                    <w:p w:rsidR="00702EF7" w:rsidRDefault="00702EF7">
                      <w:pPr>
                        <w:adjustRightInd w:val="0"/>
                        <w:snapToGrid w:val="0"/>
                        <w:rPr>
                          <w:rFonts w:ascii="宋体" w:hAnsi="宋体" w:cs="宋体"/>
                          <w:sz w:val="18"/>
                          <w:szCs w:val="18"/>
                        </w:rPr>
                      </w:pPr>
                    </w:p>
                  </w:txbxContent>
                </v:textbox>
              </v:shape>
            </w:pict>
          </mc:Fallback>
        </mc:AlternateContent>
      </w: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r>
        <w:rPr>
          <w:rFonts w:ascii="Times New Roman" w:eastAsia="方正小标宋_GBK" w:hAnsi="Times New Roman" w:cs="Times New Roman" w:hint="eastAsia"/>
          <w:b w:val="0"/>
          <w:sz w:val="36"/>
          <w:szCs w:val="36"/>
        </w:rPr>
        <w:lastRenderedPageBreak/>
        <w:t>保护修复生态空间</w:t>
      </w:r>
      <w:bookmarkEnd w:id="738"/>
      <w:bookmarkEnd w:id="739"/>
      <w:bookmarkEnd w:id="740"/>
      <w:bookmarkEnd w:id="741"/>
      <w:bookmarkEnd w:id="742"/>
      <w:bookmarkEnd w:id="743"/>
      <w:r>
        <w:rPr>
          <w:rFonts w:ascii="Times New Roman" w:eastAsia="方正小标宋_GBK" w:hAnsi="Times New Roman" w:cs="Times New Roman" w:hint="eastAsia"/>
          <w:b w:val="0"/>
          <w:sz w:val="36"/>
          <w:szCs w:val="36"/>
        </w:rPr>
        <w:t>，促进绿色低碳发展</w:t>
      </w:r>
      <w:bookmarkEnd w:id="744"/>
      <w:bookmarkEnd w:id="745"/>
      <w:bookmarkEnd w:id="746"/>
      <w:bookmarkEnd w:id="747"/>
      <w:bookmarkEnd w:id="748"/>
      <w:bookmarkEnd w:id="749"/>
      <w:bookmarkEnd w:id="750"/>
      <w:bookmarkEnd w:id="751"/>
    </w:p>
    <w:p w:rsidR="00A765C5" w:rsidRDefault="00702EF7" w:rsidP="006B5E5D">
      <w:pPr>
        <w:pStyle w:val="2"/>
        <w:numPr>
          <w:ilvl w:val="0"/>
          <w:numId w:val="8"/>
        </w:numPr>
        <w:snapToGrid w:val="0"/>
        <w:spacing w:beforeLines="50" w:before="156" w:afterLines="50" w:after="156" w:line="600" w:lineRule="exact"/>
        <w:jc w:val="center"/>
        <w:rPr>
          <w:rFonts w:ascii="Times New Roman" w:eastAsia="黑体" w:hAnsi="Times New Roman"/>
          <w:b w:val="0"/>
          <w:bCs w:val="0"/>
          <w:sz w:val="32"/>
        </w:rPr>
      </w:pPr>
      <w:bookmarkStart w:id="752" w:name="_Toc31878"/>
      <w:bookmarkStart w:id="753" w:name="_Toc9853"/>
      <w:bookmarkStart w:id="754" w:name="_Toc26738"/>
      <w:bookmarkStart w:id="755" w:name="_Toc28772"/>
      <w:bookmarkStart w:id="756" w:name="_Toc10349"/>
      <w:bookmarkStart w:id="757" w:name="_Toc31862"/>
      <w:bookmarkStart w:id="758" w:name="_Toc30177"/>
      <w:bookmarkStart w:id="759" w:name="_Toc13301"/>
      <w:bookmarkStart w:id="760" w:name="_Toc30583"/>
      <w:bookmarkStart w:id="761" w:name="_Toc23"/>
      <w:r>
        <w:rPr>
          <w:rFonts w:ascii="Times New Roman" w:eastAsia="黑体" w:hAnsi="Times New Roman" w:hint="eastAsia"/>
          <w:b w:val="0"/>
          <w:bCs w:val="0"/>
          <w:sz w:val="32"/>
        </w:rPr>
        <w:t>加强自然保护地体系</w:t>
      </w:r>
      <w:bookmarkEnd w:id="752"/>
      <w:bookmarkEnd w:id="753"/>
      <w:bookmarkEnd w:id="754"/>
      <w:r>
        <w:rPr>
          <w:rFonts w:ascii="Times New Roman" w:eastAsia="黑体" w:hAnsi="Times New Roman" w:hint="eastAsia"/>
          <w:b w:val="0"/>
          <w:bCs w:val="0"/>
          <w:sz w:val="32"/>
        </w:rPr>
        <w:t>管控</w:t>
      </w:r>
      <w:bookmarkEnd w:id="755"/>
      <w:bookmarkEnd w:id="756"/>
      <w:bookmarkEnd w:id="757"/>
      <w:bookmarkEnd w:id="758"/>
      <w:bookmarkEnd w:id="759"/>
      <w:bookmarkEnd w:id="760"/>
      <w:bookmarkEnd w:id="761"/>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62" w:name="_Toc30684"/>
      <w:bookmarkStart w:id="763" w:name="_Toc14525"/>
      <w:bookmarkStart w:id="764" w:name="_Toc9547"/>
      <w:bookmarkStart w:id="765" w:name="_Toc5011"/>
      <w:bookmarkStart w:id="766" w:name="_Toc11049"/>
      <w:bookmarkStart w:id="767" w:name="_Toc5007"/>
      <w:bookmarkStart w:id="768" w:name="_Toc10428"/>
      <w:bookmarkStart w:id="769" w:name="_Toc13082"/>
      <w:r>
        <w:rPr>
          <w:rFonts w:ascii="Times New Roman" w:eastAsia="楷体_GB2312" w:hAnsi="Times New Roman" w:cs="Times New Roman" w:hint="eastAsia"/>
          <w:sz w:val="32"/>
          <w:szCs w:val="32"/>
        </w:rPr>
        <w:t>构建自然保护地体系</w:t>
      </w:r>
      <w:bookmarkEnd w:id="762"/>
      <w:bookmarkEnd w:id="763"/>
      <w:bookmarkEnd w:id="764"/>
      <w:bookmarkEnd w:id="765"/>
      <w:bookmarkEnd w:id="766"/>
      <w:bookmarkEnd w:id="767"/>
      <w:bookmarkEnd w:id="768"/>
      <w:bookmarkEnd w:id="76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落实自然保护地整合优化方案，建立自然保护地生态系统保护的新体制、新机制、新模式，维护自然生态系统健康稳定，协同保护自然景观多样性，增强自然保护地管理效能，提高生态系统服务功能和生态产品供给能力。自然保护地数量、规模、等级等以整合优化最终结果为准。</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70" w:name="_Toc18644"/>
      <w:bookmarkStart w:id="771" w:name="_Toc31058"/>
      <w:bookmarkStart w:id="772" w:name="_Toc13075"/>
      <w:bookmarkStart w:id="773" w:name="_Toc26061"/>
      <w:bookmarkStart w:id="774" w:name="_Toc30036"/>
      <w:bookmarkStart w:id="775" w:name="_Toc4903"/>
      <w:bookmarkStart w:id="776" w:name="_Toc18146"/>
      <w:bookmarkStart w:id="777" w:name="_Toc13772"/>
      <w:r>
        <w:rPr>
          <w:rFonts w:ascii="Times New Roman" w:eastAsia="楷体_GB2312" w:hAnsi="Times New Roman" w:cs="Times New Roman" w:hint="eastAsia"/>
          <w:sz w:val="32"/>
          <w:szCs w:val="32"/>
        </w:rPr>
        <w:t>加强生物多样性保护</w:t>
      </w:r>
      <w:bookmarkEnd w:id="770"/>
      <w:bookmarkEnd w:id="771"/>
      <w:bookmarkEnd w:id="772"/>
      <w:bookmarkEnd w:id="773"/>
      <w:bookmarkEnd w:id="774"/>
      <w:bookmarkEnd w:id="775"/>
      <w:bookmarkEnd w:id="776"/>
      <w:bookmarkEnd w:id="77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全面实施对辽宁鸭绿江口湿地国家级自然保护区、辽宁白石砬子国家级自然保护区及其他生物多样性</w:t>
      </w:r>
      <w:proofErr w:type="gramStart"/>
      <w:r>
        <w:rPr>
          <w:rFonts w:ascii="Times New Roman" w:eastAsia="仿宋_GB2312" w:hAnsi="Times New Roman" w:cs="Times New Roman" w:hint="eastAsia"/>
          <w:sz w:val="32"/>
          <w:szCs w:val="32"/>
        </w:rPr>
        <w:t>维护极</w:t>
      </w:r>
      <w:proofErr w:type="gramEnd"/>
      <w:r>
        <w:rPr>
          <w:rFonts w:ascii="Times New Roman" w:eastAsia="仿宋_GB2312" w:hAnsi="Times New Roman" w:cs="Times New Roman" w:hint="eastAsia"/>
          <w:sz w:val="32"/>
          <w:szCs w:val="32"/>
        </w:rPr>
        <w:t>重要区域的保护，有序开展生物多样性调查、观测和评估，维持和恢复珍稀濒危野生动植物种群数量及赖以生存的栖息环境，确保主要保护对象安全。规划期内，丹东市自然保护区等生物多样性保护优先区域</w:t>
      </w:r>
      <w:proofErr w:type="gramStart"/>
      <w:r>
        <w:rPr>
          <w:rFonts w:ascii="Times New Roman" w:eastAsia="仿宋_GB2312" w:hAnsi="Times New Roman" w:cs="Times New Roman" w:hint="eastAsia"/>
          <w:sz w:val="32"/>
          <w:szCs w:val="32"/>
        </w:rPr>
        <w:t>内典型</w:t>
      </w:r>
      <w:proofErr w:type="gramEnd"/>
      <w:r>
        <w:rPr>
          <w:rFonts w:ascii="Times New Roman" w:eastAsia="仿宋_GB2312" w:hAnsi="Times New Roman" w:cs="Times New Roman" w:hint="eastAsia"/>
          <w:sz w:val="32"/>
          <w:szCs w:val="32"/>
        </w:rPr>
        <w:t>生态系统、重点保护野生动植物物种、濒危野生动植物及其栖息地得到全面保护。</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78" w:name="_Toc28303"/>
      <w:r>
        <w:rPr>
          <w:rFonts w:ascii="Times New Roman" w:eastAsia="楷体_GB2312" w:hAnsi="Times New Roman" w:cs="Times New Roman" w:hint="eastAsia"/>
          <w:sz w:val="32"/>
          <w:szCs w:val="32"/>
        </w:rPr>
        <w:t>推进自然保护地统一管控</w:t>
      </w:r>
      <w:bookmarkEnd w:id="77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自然保护区实行分区管控，重点维持和恢复珍稀濒危野生动植物种群数量及赖以生存的栖息环境，确保主要保护对象安全，原则上核心保护区内禁止人为活动，一般控制区内</w:t>
      </w:r>
      <w:r>
        <w:rPr>
          <w:rFonts w:ascii="Times New Roman" w:eastAsia="仿宋_GB2312" w:hAnsi="Times New Roman" w:cs="Times New Roman" w:hint="eastAsia"/>
          <w:sz w:val="32"/>
          <w:szCs w:val="32"/>
        </w:rPr>
        <w:lastRenderedPageBreak/>
        <w:t>限制人为活动。自然公园原则上按一般控制区管理，限制人为活动，保护重要的自然生态系统、自然遗迹和自然景观，以及具有生态、观赏、文化和科学价值等可持续利用的区域。确保森林、湿地、水域、海洋等珍贵自然资源，以及所承载的景观、地质地貌和文化多样性得到有效保护。改善自然公园生态保育功能，促进保护和利用结合。</w:t>
      </w:r>
    </w:p>
    <w:p w:rsidR="00A765C5" w:rsidRDefault="00702EF7" w:rsidP="006B5E5D">
      <w:pPr>
        <w:pStyle w:val="2"/>
        <w:numPr>
          <w:ilvl w:val="0"/>
          <w:numId w:val="8"/>
        </w:numPr>
        <w:snapToGrid w:val="0"/>
        <w:spacing w:beforeLines="50" w:before="156" w:afterLines="50" w:after="156" w:line="600" w:lineRule="exact"/>
        <w:jc w:val="center"/>
        <w:rPr>
          <w:rFonts w:ascii="Times New Roman" w:eastAsia="黑体" w:hAnsi="Times New Roman"/>
          <w:b w:val="0"/>
          <w:bCs w:val="0"/>
          <w:sz w:val="32"/>
        </w:rPr>
      </w:pPr>
      <w:bookmarkStart w:id="779" w:name="_Toc30453"/>
      <w:bookmarkStart w:id="780" w:name="_Toc28058"/>
      <w:bookmarkStart w:id="781" w:name="_Toc14834"/>
      <w:bookmarkStart w:id="782" w:name="_Toc25690"/>
      <w:bookmarkStart w:id="783" w:name="_Toc26438"/>
      <w:bookmarkStart w:id="784" w:name="_Toc14629"/>
      <w:bookmarkStart w:id="785" w:name="_Toc14481"/>
      <w:bookmarkStart w:id="786" w:name="_Toc31144"/>
      <w:bookmarkStart w:id="787" w:name="_Toc17554"/>
      <w:bookmarkStart w:id="788" w:name="_Toc19409"/>
      <w:r>
        <w:rPr>
          <w:rFonts w:ascii="Times New Roman" w:eastAsia="黑体" w:hAnsi="Times New Roman" w:hint="eastAsia"/>
          <w:b w:val="0"/>
          <w:bCs w:val="0"/>
          <w:sz w:val="32"/>
        </w:rPr>
        <w:t>强化水资源保护和配置</w:t>
      </w:r>
      <w:bookmarkEnd w:id="779"/>
      <w:bookmarkEnd w:id="780"/>
      <w:bookmarkEnd w:id="781"/>
      <w:bookmarkEnd w:id="782"/>
      <w:bookmarkEnd w:id="783"/>
      <w:bookmarkEnd w:id="784"/>
      <w:bookmarkEnd w:id="785"/>
      <w:bookmarkEnd w:id="786"/>
      <w:bookmarkEnd w:id="787"/>
      <w:bookmarkEnd w:id="788"/>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89" w:name="_Toc13465"/>
      <w:bookmarkStart w:id="790" w:name="_Toc86"/>
      <w:bookmarkStart w:id="791" w:name="_Toc26210"/>
      <w:bookmarkStart w:id="792" w:name="_Toc19052"/>
      <w:bookmarkStart w:id="793" w:name="_Toc11324"/>
      <w:bookmarkStart w:id="794" w:name="_Toc7583"/>
      <w:bookmarkStart w:id="795" w:name="_Toc7277"/>
      <w:bookmarkStart w:id="796" w:name="_Toc10369"/>
      <w:r>
        <w:rPr>
          <w:rFonts w:ascii="Times New Roman" w:eastAsia="楷体_GB2312" w:hAnsi="Times New Roman" w:cs="Times New Roman" w:hint="eastAsia"/>
          <w:sz w:val="32"/>
          <w:szCs w:val="32"/>
        </w:rPr>
        <w:t>严格控制用水总量</w:t>
      </w:r>
      <w:bookmarkEnd w:id="789"/>
      <w:bookmarkEnd w:id="790"/>
      <w:bookmarkEnd w:id="791"/>
      <w:bookmarkEnd w:id="792"/>
      <w:bookmarkEnd w:id="793"/>
      <w:bookmarkEnd w:id="794"/>
      <w:bookmarkEnd w:id="795"/>
      <w:bookmarkEnd w:id="796"/>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坚持以水定城、以水定地、以水定人、以水定产，落实水资源消耗总量和强度“双控”要求，强化“水资源开发利用控制、用水效率控制和水功能区限制纳污”三条红线刚性约束，严格控制缺水地区、水环境敏感区域高耗水行业发展，推进工业节水工作，积极推进重点行业、重点企业的节水工作，有计划地对造纸业、纺织业、印染业高耗水企业的用水改造，做到</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水多用，提高工业用水的重复利用率、回用率。确保年用水总量、万元地区生产总值和万元工业增加值用水量符合</w:t>
      </w:r>
      <w:proofErr w:type="gramStart"/>
      <w:r>
        <w:rPr>
          <w:rFonts w:ascii="Times New Roman" w:eastAsia="仿宋_GB2312" w:hAnsi="Times New Roman" w:cs="Times New Roman" w:hint="eastAsia"/>
          <w:sz w:val="32"/>
          <w:szCs w:val="32"/>
        </w:rPr>
        <w:t>省级规定</w:t>
      </w:r>
      <w:proofErr w:type="gramEnd"/>
      <w:r>
        <w:rPr>
          <w:rFonts w:ascii="Times New Roman" w:eastAsia="仿宋_GB2312" w:hAnsi="Times New Roman" w:cs="Times New Roman" w:hint="eastAsia"/>
          <w:sz w:val="32"/>
          <w:szCs w:val="32"/>
        </w:rPr>
        <w:t>指标。全面推进节水型社会建设，加强工业、农业、城乡节水改造，大力推广工业节水工艺和农业节水灌溉技术。</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797" w:name="_Toc13125"/>
      <w:bookmarkStart w:id="798" w:name="_Toc31966"/>
      <w:bookmarkStart w:id="799" w:name="_Toc9041"/>
      <w:bookmarkStart w:id="800" w:name="_Toc30696"/>
      <w:bookmarkStart w:id="801" w:name="_Toc24871"/>
      <w:bookmarkStart w:id="802" w:name="_Toc1426"/>
      <w:bookmarkStart w:id="803" w:name="_Toc15613"/>
      <w:bookmarkStart w:id="804" w:name="_Toc30041"/>
      <w:r>
        <w:rPr>
          <w:rFonts w:ascii="Times New Roman" w:eastAsia="楷体_GB2312" w:hAnsi="Times New Roman" w:cs="Times New Roman" w:hint="eastAsia"/>
          <w:sz w:val="32"/>
          <w:szCs w:val="32"/>
        </w:rPr>
        <w:t>划定重要河湖岸线保护范围</w:t>
      </w:r>
      <w:bookmarkEnd w:id="797"/>
      <w:bookmarkEnd w:id="798"/>
      <w:bookmarkEnd w:id="799"/>
      <w:bookmarkEnd w:id="800"/>
      <w:bookmarkEnd w:id="801"/>
      <w:bookmarkEnd w:id="802"/>
      <w:bookmarkEnd w:id="803"/>
      <w:bookmarkEnd w:id="80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开展河湖岸线登记，依法划定流域面积</w:t>
      </w:r>
      <w:r>
        <w:rPr>
          <w:rFonts w:ascii="Times New Roman" w:eastAsia="仿宋_GB2312" w:hAnsi="Times New Roman" w:cs="Times New Roman" w:hint="eastAsia"/>
          <w:sz w:val="32"/>
          <w:szCs w:val="32"/>
        </w:rPr>
        <w:t>1000</w:t>
      </w:r>
      <w:r>
        <w:rPr>
          <w:rFonts w:ascii="Times New Roman" w:eastAsia="仿宋_GB2312" w:hAnsi="Times New Roman" w:cs="Times New Roman" w:hint="eastAsia"/>
          <w:sz w:val="32"/>
          <w:szCs w:val="32"/>
        </w:rPr>
        <w:t>平方千米</w:t>
      </w:r>
      <w:r>
        <w:rPr>
          <w:rFonts w:ascii="Times New Roman" w:eastAsia="仿宋_GB2312" w:hAnsi="Times New Roman" w:cs="Times New Roman" w:hint="eastAsia"/>
          <w:sz w:val="32"/>
          <w:szCs w:val="32"/>
        </w:rPr>
        <w:lastRenderedPageBreak/>
        <w:t>以上河流和常年水面面积</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平方千米以上湖泊的管理和保护范围。加强规划岸线分区管理，依法划定水域岸线保护区、保留区、控制利用区和开发利用区。在沿河湖两岸按计划实施退耕还林还湿，建设植被缓冲带和隔离带，保护河湖水域空间。严格限制建设项目、农用地占用河湖自然岸线和河道，非法挤占的要限期退出。严禁以各种名义侵占河道、围垦河湖、非法采砂，对非法侵占、乱占滥用等突出问题开展清理整治，恢复河湖生态功能。</w:t>
      </w:r>
      <w:r>
        <w:rPr>
          <w:rFonts w:ascii="Times New Roman" w:eastAsia="仿宋_GB2312" w:hAnsi="Times New Roman" w:cs="Times New Roman" w:hint="eastAsia"/>
          <w:sz w:val="32"/>
          <w:szCs w:val="32"/>
          <w:lang w:val="zh-CN"/>
        </w:rPr>
        <w:t>项目选址中，涉及饮用水水源保护区时，按照《中华人民共和国水污染防治法》《辽宁省水污染防治条例》等相关规定执行。</w:t>
      </w:r>
    </w:p>
    <w:p w:rsidR="00A765C5" w:rsidRDefault="00702EF7" w:rsidP="006B5E5D">
      <w:pPr>
        <w:pStyle w:val="2"/>
        <w:numPr>
          <w:ilvl w:val="0"/>
          <w:numId w:val="8"/>
        </w:numPr>
        <w:snapToGrid w:val="0"/>
        <w:spacing w:beforeLines="50" w:before="156" w:afterLines="50" w:after="156" w:line="600" w:lineRule="exact"/>
        <w:jc w:val="center"/>
        <w:rPr>
          <w:rFonts w:ascii="Times New Roman" w:eastAsia="黑体" w:hAnsi="Times New Roman"/>
          <w:b w:val="0"/>
          <w:bCs w:val="0"/>
          <w:sz w:val="32"/>
        </w:rPr>
      </w:pPr>
      <w:bookmarkStart w:id="805" w:name="_Toc9023"/>
      <w:bookmarkStart w:id="806" w:name="_Toc6328"/>
      <w:bookmarkStart w:id="807" w:name="_Toc20812"/>
      <w:bookmarkStart w:id="808" w:name="_Toc27823"/>
      <w:bookmarkStart w:id="809" w:name="_Toc3123"/>
      <w:bookmarkStart w:id="810" w:name="_Toc21286"/>
      <w:bookmarkStart w:id="811" w:name="_Toc14700"/>
      <w:bookmarkStart w:id="812" w:name="_Toc18532"/>
      <w:bookmarkStart w:id="813" w:name="_Toc22987"/>
      <w:bookmarkStart w:id="814" w:name="_Toc282"/>
      <w:r>
        <w:rPr>
          <w:rFonts w:ascii="Times New Roman" w:eastAsia="黑体" w:hAnsi="Times New Roman" w:hint="eastAsia"/>
          <w:b w:val="0"/>
          <w:bCs w:val="0"/>
          <w:sz w:val="32"/>
        </w:rPr>
        <w:t>提升生态资源保护利用</w:t>
      </w:r>
      <w:bookmarkEnd w:id="805"/>
      <w:bookmarkEnd w:id="806"/>
      <w:bookmarkEnd w:id="807"/>
      <w:r>
        <w:rPr>
          <w:rFonts w:ascii="Times New Roman" w:eastAsia="黑体" w:hAnsi="Times New Roman" w:hint="eastAsia"/>
          <w:b w:val="0"/>
          <w:bCs w:val="0"/>
          <w:sz w:val="32"/>
        </w:rPr>
        <w:t>水平</w:t>
      </w:r>
      <w:bookmarkEnd w:id="808"/>
      <w:bookmarkEnd w:id="809"/>
      <w:bookmarkEnd w:id="810"/>
      <w:bookmarkEnd w:id="811"/>
      <w:bookmarkEnd w:id="812"/>
      <w:bookmarkEnd w:id="813"/>
      <w:bookmarkEnd w:id="814"/>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15" w:name="_Toc2102"/>
      <w:bookmarkStart w:id="816" w:name="_Toc25789"/>
      <w:bookmarkStart w:id="817" w:name="_Toc12721"/>
      <w:bookmarkStart w:id="818" w:name="_Toc11145"/>
      <w:bookmarkStart w:id="819" w:name="_Toc21772"/>
      <w:bookmarkStart w:id="820" w:name="_Toc31635"/>
      <w:bookmarkStart w:id="821" w:name="_Toc1539"/>
      <w:bookmarkStart w:id="822" w:name="_Toc8446"/>
      <w:bookmarkStart w:id="823" w:name="_Toc32756"/>
      <w:r>
        <w:rPr>
          <w:rFonts w:ascii="Times New Roman" w:eastAsia="楷体_GB2312" w:hAnsi="Times New Roman" w:cs="Times New Roman" w:hint="eastAsia"/>
          <w:sz w:val="32"/>
          <w:szCs w:val="32"/>
        </w:rPr>
        <w:t>林草资源保护与利用</w:t>
      </w:r>
      <w:bookmarkEnd w:id="815"/>
      <w:bookmarkEnd w:id="816"/>
      <w:bookmarkEnd w:id="817"/>
      <w:bookmarkEnd w:id="818"/>
      <w:bookmarkEnd w:id="819"/>
      <w:bookmarkEnd w:id="820"/>
      <w:bookmarkEnd w:id="821"/>
      <w:bookmarkEnd w:id="822"/>
      <w:bookmarkEnd w:id="823"/>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适度提高森林覆盖率。创新营林造林机制，充分利用荒山、荒滩等宜林地植树造林，增加有林地面积。强化生态廊道保护，切实保护鸭绿江、大洋河、爱河、蒲石河、浑江等河流沿岸的防护林。到</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年，森林覆盖率依据国家和省下达确定。</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推进森林质量提升。以大幅度提高林地生产力、增加森林蓄积量为目标，着力管护现有林地，加强疏林地、灌木林地等低效林地改造，加大临时占用和灾害损毁林地的修复力度。积极通过扩大有林地规模、合理确定培育周期等措施，丰富木材及林产品供给，增强森林的自我调节、维持生态平</w:t>
      </w:r>
      <w:r>
        <w:rPr>
          <w:rFonts w:ascii="Times New Roman" w:eastAsia="仿宋_GB2312" w:hAnsi="Times New Roman" w:cs="Times New Roman" w:hint="eastAsia"/>
          <w:sz w:val="32"/>
          <w:szCs w:val="32"/>
        </w:rPr>
        <w:lastRenderedPageBreak/>
        <w:t>衡的能力，提高</w:t>
      </w:r>
      <w:proofErr w:type="gramStart"/>
      <w:r>
        <w:rPr>
          <w:rFonts w:ascii="Times New Roman" w:eastAsia="仿宋_GB2312" w:hAnsi="Times New Roman" w:cs="Times New Roman" w:hint="eastAsia"/>
          <w:sz w:val="32"/>
          <w:szCs w:val="32"/>
        </w:rPr>
        <w:t>森林碳汇能力</w:t>
      </w:r>
      <w:proofErr w:type="gramEnd"/>
      <w:r>
        <w:rPr>
          <w:rFonts w:ascii="Times New Roman" w:eastAsia="仿宋_GB2312" w:hAnsi="Times New Roman" w:cs="Times New Roman" w:hint="eastAsia"/>
          <w:sz w:val="32"/>
          <w:szCs w:val="32"/>
        </w:rPr>
        <w:t>。</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林地保护管理。严格林地分类、分级管理。加强林地用途管制，实行占用林地总量控制，落实采伐限额和凭证采伐管理制度。严禁将公益林地调整为商品林地；严禁砍伐古树名木、珍稀树木；建立天然林休养生息制度，全面停止天然林商业性采伐。严管天然林地占用，严格控制天然林地转为其他用途，除国防建设、国家重大工程项目建设特殊需要外，禁止占用自然保护区核心保护区的天然林地。严格保护生态公益林，大力推进生态公益林建设，强化对林地的整体保护，确保森林资源安全。</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草地资源管护。适度改造宜牧荒草地，逐步增加牧草地数量，稳步提高牧草地质量。着力建设人工、半人工草场，合理控制牧草地载畜量，防止草地生态系统破坏。有序实施草地生态恢复与综合治理，改善草地生态质量，维护草原生态系统完整性和稳定性。改良草地、重要放牧场、割草地及自然保护区内草地等具有特殊生态作用的草地，划定为基本草原，实行严格的保护制度，任何单位和个人不得擅自占用基本草原或改变其用途。到</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年，草原综合植被盖度依据国家和省下达确定。</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24" w:name="_Toc14457"/>
      <w:bookmarkStart w:id="825" w:name="_Toc15974"/>
      <w:bookmarkStart w:id="826" w:name="_Toc23784"/>
      <w:bookmarkStart w:id="827" w:name="_Toc31342"/>
      <w:bookmarkStart w:id="828" w:name="_Toc6732"/>
      <w:bookmarkStart w:id="829" w:name="_Toc5241"/>
      <w:bookmarkStart w:id="830" w:name="_Toc15824"/>
      <w:bookmarkStart w:id="831" w:name="_Toc3923"/>
      <w:r>
        <w:rPr>
          <w:rFonts w:ascii="Times New Roman" w:eastAsia="楷体_GB2312" w:hAnsi="Times New Roman" w:cs="Times New Roman" w:hint="eastAsia"/>
          <w:sz w:val="32"/>
          <w:szCs w:val="32"/>
        </w:rPr>
        <w:t>湿地资源保护与利用</w:t>
      </w:r>
      <w:bookmarkEnd w:id="824"/>
      <w:bookmarkEnd w:id="825"/>
      <w:bookmarkEnd w:id="826"/>
      <w:bookmarkEnd w:id="827"/>
      <w:bookmarkEnd w:id="828"/>
      <w:bookmarkEnd w:id="829"/>
      <w:bookmarkEnd w:id="830"/>
      <w:bookmarkEnd w:id="83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落实湿地总量管控。严格湿地用途管控，落实总量控制与限额使用、依法占用、占补平衡、生态补偿等湿地管理制</w:t>
      </w:r>
      <w:r>
        <w:rPr>
          <w:rFonts w:ascii="Times New Roman" w:eastAsia="仿宋_GB2312" w:hAnsi="Times New Roman" w:cs="Times New Roman" w:hint="eastAsia"/>
          <w:sz w:val="32"/>
          <w:szCs w:val="32"/>
        </w:rPr>
        <w:lastRenderedPageBreak/>
        <w:t>度，确保湿地面积不减少、质量不降低。推进退化湿地修复，加快重点湿地自然保护区、湿地公园的建设，促进湿地生物群落重建和恢复。建立湿地生态环境监测网络，监测湿地生态环境动态变化。</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积极推进湿地分类保护。严格辽宁鸭绿江口湿地国家级自然保护区等国际重要湿地保护，强化辽宁草河国家湿地公园和丹东蒲石河等省重要湿地的保护，完善湿地保护名录，划定湿地保护范围。维护湿地生态系统完整性和稳定性，稳步提升湿地生态系统服务功能和生态产品供给能力。</w:t>
      </w:r>
    </w:p>
    <w:p w:rsidR="00A765C5" w:rsidRDefault="00702EF7" w:rsidP="006B5E5D">
      <w:pPr>
        <w:pStyle w:val="2"/>
        <w:numPr>
          <w:ilvl w:val="0"/>
          <w:numId w:val="8"/>
        </w:numPr>
        <w:snapToGrid w:val="0"/>
        <w:spacing w:beforeLines="50" w:before="156" w:afterLines="50" w:after="156" w:line="600" w:lineRule="exact"/>
        <w:jc w:val="center"/>
        <w:rPr>
          <w:rFonts w:ascii="Times New Roman" w:eastAsia="黑体" w:hAnsi="Times New Roman"/>
          <w:b w:val="0"/>
          <w:bCs w:val="0"/>
          <w:sz w:val="32"/>
        </w:rPr>
      </w:pPr>
      <w:bookmarkStart w:id="832" w:name="_Toc1414"/>
      <w:bookmarkStart w:id="833" w:name="_Toc27356"/>
      <w:bookmarkStart w:id="834" w:name="_Toc24554"/>
      <w:bookmarkStart w:id="835" w:name="_Toc31508"/>
      <w:bookmarkStart w:id="836" w:name="_Toc15593"/>
      <w:bookmarkStart w:id="837" w:name="_Toc16893"/>
      <w:bookmarkStart w:id="838" w:name="_Toc10789"/>
      <w:bookmarkStart w:id="839" w:name="_Toc26118"/>
      <w:bookmarkStart w:id="840" w:name="_Toc7871"/>
      <w:bookmarkStart w:id="841" w:name="_Toc30569"/>
      <w:r>
        <w:rPr>
          <w:rFonts w:ascii="Times New Roman" w:eastAsia="黑体" w:hAnsi="Times New Roman" w:hint="eastAsia"/>
          <w:b w:val="0"/>
          <w:bCs w:val="0"/>
          <w:sz w:val="32"/>
        </w:rPr>
        <w:t>统筹矿产资源保护与利用</w:t>
      </w:r>
      <w:bookmarkEnd w:id="832"/>
      <w:bookmarkEnd w:id="833"/>
      <w:bookmarkEnd w:id="834"/>
      <w:bookmarkEnd w:id="835"/>
      <w:bookmarkEnd w:id="836"/>
      <w:bookmarkEnd w:id="837"/>
      <w:bookmarkEnd w:id="838"/>
      <w:bookmarkEnd w:id="839"/>
      <w:bookmarkEnd w:id="840"/>
      <w:bookmarkEnd w:id="841"/>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42" w:name="_Toc2574"/>
      <w:bookmarkStart w:id="843" w:name="_Toc8680"/>
      <w:bookmarkStart w:id="844" w:name="_Toc4849"/>
      <w:bookmarkStart w:id="845" w:name="_Toc27643"/>
      <w:bookmarkStart w:id="846" w:name="_Toc6028"/>
      <w:r>
        <w:rPr>
          <w:rFonts w:ascii="Times New Roman" w:eastAsia="楷体_GB2312" w:hAnsi="Times New Roman" w:cs="Times New Roman" w:hint="eastAsia"/>
          <w:sz w:val="32"/>
          <w:szCs w:val="32"/>
        </w:rPr>
        <w:t>优化矿产资源勘查管理</w:t>
      </w:r>
      <w:bookmarkEnd w:id="842"/>
      <w:bookmarkEnd w:id="843"/>
      <w:bookmarkEnd w:id="844"/>
      <w:bookmarkEnd w:id="845"/>
      <w:bookmarkEnd w:id="84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划定重点勘查区。在成矿条件有利、找矿前景良好的区域以及有望实现找矿重大突破的区域，到</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年，划定重点勘查区，区内优先投放探矿权，优先安排市优势矿产勘查，先期部署基础性地质和调查评价工作。</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划定勘查规划区块。根据矿业权出让登记管理权限，以地质矿产调查评价、矿产勘查成果为基础以及综合考虑矿业发展需要。投放探矿权时，应以批复的勘查规划区块为指导，且需符合规划准入条件。菱镁矿</w:t>
      </w:r>
      <w:proofErr w:type="gramStart"/>
      <w:r>
        <w:rPr>
          <w:rFonts w:ascii="Times New Roman" w:eastAsia="仿宋_GB2312" w:hAnsi="Times New Roman" w:cs="Times New Roman" w:hint="eastAsia"/>
          <w:sz w:val="32"/>
          <w:szCs w:val="32"/>
        </w:rPr>
        <w:t>除资源</w:t>
      </w:r>
      <w:proofErr w:type="gramEnd"/>
      <w:r>
        <w:rPr>
          <w:rFonts w:ascii="Times New Roman" w:eastAsia="仿宋_GB2312" w:hAnsi="Times New Roman" w:cs="Times New Roman" w:hint="eastAsia"/>
          <w:sz w:val="32"/>
          <w:szCs w:val="32"/>
        </w:rPr>
        <w:t>整合外，不再新设空白区勘查规划区块。</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47" w:name="_Toc24060"/>
      <w:bookmarkStart w:id="848" w:name="_Toc7328"/>
      <w:bookmarkStart w:id="849" w:name="_Toc23314"/>
      <w:bookmarkStart w:id="850" w:name="_Toc32242"/>
      <w:bookmarkStart w:id="851" w:name="_Toc15313"/>
      <w:r>
        <w:rPr>
          <w:rFonts w:ascii="Times New Roman" w:eastAsia="楷体_GB2312" w:hAnsi="Times New Roman" w:cs="Times New Roman" w:hint="eastAsia"/>
          <w:sz w:val="32"/>
          <w:szCs w:val="32"/>
        </w:rPr>
        <w:t>强化矿产资源开采管理</w:t>
      </w:r>
      <w:bookmarkEnd w:id="847"/>
      <w:bookmarkEnd w:id="848"/>
      <w:bookmarkEnd w:id="849"/>
      <w:bookmarkEnd w:id="850"/>
      <w:bookmarkEnd w:id="85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划定重点开采区。在资源分布相对集中、资源和开发利用条件好的区域，重点开金、硼等矿产，重点开采区内同等条件下优先倾斜实行总量调控矿种的开采总量指标、优先投放采矿权。</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划定开采规划区块。严格落实规划分区管理制度，加强勘查开采规划区块和集中开采区管理，确保整体勘查、规模开发。严格执行最低开采规模、绿色矿山建设、矿山生态修复等规划准入条件。严格禁止一矿多开和大矿小开。各级登记管理权限矿种的开采规划区块纳入辽宁省矿产资源总体规划数据库管理。</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设置普通建筑用砂石集中开采区。集中开采区应符合耕地和永久基本农田、生态保护红线、城镇开发边界等三条主要控制线以及各类禁止、限制勘查开采区域的管控要求，原则上不得与市级以上重点勘查开采区域重叠，并与现有矿业</w:t>
      </w:r>
      <w:proofErr w:type="gramStart"/>
      <w:r>
        <w:rPr>
          <w:rFonts w:ascii="Times New Roman" w:eastAsia="仿宋_GB2312" w:hAnsi="Times New Roman" w:cs="Times New Roman" w:hint="eastAsia"/>
          <w:sz w:val="32"/>
          <w:szCs w:val="32"/>
        </w:rPr>
        <w:t>权保持</w:t>
      </w:r>
      <w:proofErr w:type="gramEnd"/>
      <w:r>
        <w:rPr>
          <w:rFonts w:ascii="Times New Roman" w:eastAsia="仿宋_GB2312" w:hAnsi="Times New Roman" w:cs="Times New Roman" w:hint="eastAsia"/>
          <w:sz w:val="32"/>
          <w:szCs w:val="32"/>
        </w:rPr>
        <w:t>一定安全距离。</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52" w:name="_Toc4258"/>
      <w:bookmarkStart w:id="853" w:name="_Toc10846"/>
      <w:bookmarkStart w:id="854" w:name="_Toc7101"/>
      <w:bookmarkStart w:id="855" w:name="_Toc30665"/>
      <w:bookmarkStart w:id="856" w:name="_Toc62"/>
      <w:r>
        <w:rPr>
          <w:rFonts w:ascii="Times New Roman" w:eastAsia="楷体_GB2312" w:hAnsi="Times New Roman" w:cs="Times New Roman" w:hint="eastAsia"/>
          <w:sz w:val="32"/>
          <w:szCs w:val="32"/>
        </w:rPr>
        <w:t>优化利用硼矿资源</w:t>
      </w:r>
      <w:bookmarkEnd w:id="852"/>
      <w:bookmarkEnd w:id="853"/>
      <w:bookmarkEnd w:id="854"/>
      <w:bookmarkEnd w:id="855"/>
      <w:bookmarkEnd w:id="85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鼓励硼矿开采，提升硼矿行业技术含量，以循环经济为理念，以提高资源利用效率、减少排放、实现社会经济和环境效益最大化为目的，综合高效使用硼矿资源，构建并完善丹东市</w:t>
      </w:r>
      <w:proofErr w:type="gramStart"/>
      <w:r>
        <w:rPr>
          <w:rFonts w:ascii="Times New Roman" w:eastAsia="仿宋_GB2312" w:hAnsi="Times New Roman" w:cs="Times New Roman" w:hint="eastAsia"/>
          <w:sz w:val="32"/>
          <w:szCs w:val="32"/>
        </w:rPr>
        <w:t>硼产业</w:t>
      </w:r>
      <w:proofErr w:type="gramEnd"/>
      <w:r>
        <w:rPr>
          <w:rFonts w:ascii="Times New Roman" w:eastAsia="仿宋_GB2312" w:hAnsi="Times New Roman" w:cs="Times New Roman" w:hint="eastAsia"/>
          <w:sz w:val="32"/>
          <w:szCs w:val="32"/>
        </w:rPr>
        <w:t>链条，不断</w:t>
      </w:r>
      <w:proofErr w:type="gramStart"/>
      <w:r>
        <w:rPr>
          <w:rFonts w:ascii="Times New Roman" w:eastAsia="仿宋_GB2312" w:hAnsi="Times New Roman" w:cs="Times New Roman" w:hint="eastAsia"/>
          <w:sz w:val="32"/>
          <w:szCs w:val="32"/>
        </w:rPr>
        <w:t>提高硼系产品</w:t>
      </w:r>
      <w:proofErr w:type="gramEnd"/>
      <w:r>
        <w:rPr>
          <w:rFonts w:ascii="Times New Roman" w:eastAsia="仿宋_GB2312" w:hAnsi="Times New Roman" w:cs="Times New Roman" w:hint="eastAsia"/>
          <w:sz w:val="32"/>
          <w:szCs w:val="32"/>
        </w:rPr>
        <w:t>附加值。</w:t>
      </w:r>
      <w:proofErr w:type="gramStart"/>
      <w:r>
        <w:rPr>
          <w:rFonts w:ascii="Times New Roman" w:eastAsia="仿宋_GB2312" w:hAnsi="Times New Roman" w:cs="Times New Roman" w:hint="eastAsia"/>
          <w:sz w:val="32"/>
          <w:szCs w:val="32"/>
        </w:rPr>
        <w:t>探索硼泥等</w:t>
      </w:r>
      <w:proofErr w:type="gramEnd"/>
      <w:r>
        <w:rPr>
          <w:rFonts w:ascii="Times New Roman" w:eastAsia="仿宋_GB2312" w:hAnsi="Times New Roman" w:cs="Times New Roman" w:hint="eastAsia"/>
          <w:sz w:val="32"/>
          <w:szCs w:val="32"/>
        </w:rPr>
        <w:t>工业固废的综合开发利用及环境污染治理，打造集</w:t>
      </w:r>
      <w:proofErr w:type="gramStart"/>
      <w:r>
        <w:rPr>
          <w:rFonts w:ascii="Times New Roman" w:eastAsia="仿宋_GB2312" w:hAnsi="Times New Roman" w:cs="Times New Roman" w:hint="eastAsia"/>
          <w:sz w:val="32"/>
          <w:szCs w:val="32"/>
        </w:rPr>
        <w:t>硼泥产品</w:t>
      </w:r>
      <w:proofErr w:type="gramEnd"/>
      <w:r>
        <w:rPr>
          <w:rFonts w:ascii="Times New Roman" w:eastAsia="仿宋_GB2312" w:hAnsi="Times New Roman" w:cs="Times New Roman" w:hint="eastAsia"/>
          <w:sz w:val="32"/>
          <w:szCs w:val="32"/>
        </w:rPr>
        <w:t>研发、生产、销售为一体的产业基地，推进工业绿色低碳发</w:t>
      </w:r>
      <w:r>
        <w:rPr>
          <w:rFonts w:ascii="Times New Roman" w:eastAsia="仿宋_GB2312" w:hAnsi="Times New Roman" w:cs="Times New Roman" w:hint="eastAsia"/>
          <w:sz w:val="32"/>
          <w:szCs w:val="32"/>
        </w:rPr>
        <w:lastRenderedPageBreak/>
        <w:t>展，保障资源供给安全。</w:t>
      </w:r>
    </w:p>
    <w:p w:rsidR="00A765C5" w:rsidRDefault="00702EF7" w:rsidP="006B5E5D">
      <w:pPr>
        <w:pStyle w:val="2"/>
        <w:numPr>
          <w:ilvl w:val="0"/>
          <w:numId w:val="8"/>
        </w:numPr>
        <w:snapToGrid w:val="0"/>
        <w:spacing w:beforeLines="50" w:before="156" w:afterLines="50" w:after="156" w:line="600" w:lineRule="exact"/>
        <w:jc w:val="center"/>
        <w:rPr>
          <w:rFonts w:ascii="Times New Roman" w:eastAsia="黑体" w:hAnsi="Times New Roman"/>
          <w:b w:val="0"/>
          <w:bCs w:val="0"/>
          <w:sz w:val="32"/>
        </w:rPr>
      </w:pPr>
      <w:bookmarkStart w:id="857" w:name="_Toc27758"/>
      <w:bookmarkStart w:id="858" w:name="_Toc16428"/>
      <w:bookmarkStart w:id="859" w:name="_Toc9597"/>
      <w:bookmarkStart w:id="860" w:name="_Toc8139"/>
      <w:bookmarkStart w:id="861" w:name="_Toc19440"/>
      <w:bookmarkStart w:id="862" w:name="_Toc32418"/>
      <w:bookmarkStart w:id="863" w:name="_Toc30128"/>
      <w:bookmarkStart w:id="864" w:name="_Toc6231"/>
      <w:bookmarkStart w:id="865" w:name="_Toc23540"/>
      <w:bookmarkStart w:id="866" w:name="_Toc2222"/>
      <w:bookmarkStart w:id="867" w:name="_Toc26515"/>
      <w:r>
        <w:rPr>
          <w:rFonts w:ascii="Times New Roman" w:eastAsia="黑体" w:hAnsi="Times New Roman" w:hint="eastAsia"/>
          <w:b w:val="0"/>
          <w:bCs w:val="0"/>
          <w:sz w:val="32"/>
        </w:rPr>
        <w:t>实现绿色低碳</w:t>
      </w:r>
      <w:bookmarkEnd w:id="857"/>
      <w:bookmarkEnd w:id="858"/>
      <w:r>
        <w:rPr>
          <w:rFonts w:ascii="Times New Roman" w:eastAsia="黑体" w:hAnsi="Times New Roman" w:hint="eastAsia"/>
          <w:b w:val="0"/>
          <w:bCs w:val="0"/>
          <w:sz w:val="32"/>
        </w:rPr>
        <w:t>发展</w:t>
      </w:r>
      <w:bookmarkEnd w:id="859"/>
      <w:bookmarkEnd w:id="860"/>
      <w:bookmarkEnd w:id="861"/>
      <w:bookmarkEnd w:id="862"/>
      <w:bookmarkEnd w:id="863"/>
      <w:bookmarkEnd w:id="864"/>
      <w:bookmarkEnd w:id="865"/>
      <w:bookmarkEnd w:id="866"/>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68" w:name="_Toc6501"/>
      <w:bookmarkStart w:id="869" w:name="_Toc29489"/>
      <w:bookmarkStart w:id="870" w:name="_Toc9144"/>
      <w:bookmarkStart w:id="871" w:name="_Toc2142"/>
      <w:bookmarkStart w:id="872" w:name="_Toc8619"/>
      <w:bookmarkStart w:id="873" w:name="_Toc18735"/>
      <w:bookmarkStart w:id="874" w:name="_Toc31332"/>
      <w:bookmarkStart w:id="875" w:name="_Toc20131"/>
      <w:r>
        <w:rPr>
          <w:rFonts w:ascii="Times New Roman" w:eastAsia="楷体_GB2312" w:hAnsi="Times New Roman" w:cs="Times New Roman" w:hint="eastAsia"/>
          <w:sz w:val="32"/>
          <w:szCs w:val="32"/>
        </w:rPr>
        <w:t>提升</w:t>
      </w:r>
      <w:proofErr w:type="gramStart"/>
      <w:r>
        <w:rPr>
          <w:rFonts w:ascii="Times New Roman" w:eastAsia="楷体_GB2312" w:hAnsi="Times New Roman" w:cs="Times New Roman" w:hint="eastAsia"/>
          <w:sz w:val="32"/>
          <w:szCs w:val="32"/>
        </w:rPr>
        <w:t>生态系统碳汇能力</w:t>
      </w:r>
      <w:bookmarkEnd w:id="868"/>
      <w:bookmarkEnd w:id="869"/>
      <w:bookmarkEnd w:id="870"/>
      <w:bookmarkEnd w:id="871"/>
      <w:bookmarkEnd w:id="872"/>
      <w:bookmarkEnd w:id="873"/>
      <w:bookmarkEnd w:id="874"/>
      <w:bookmarkEnd w:id="875"/>
      <w:proofErr w:type="gramEnd"/>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“绿色碳汇”：山林地区增加森林面积、提高森林质量，加强低效林改造，大力</w:t>
      </w:r>
      <w:proofErr w:type="gramStart"/>
      <w:r>
        <w:rPr>
          <w:rFonts w:ascii="Times New Roman" w:eastAsia="仿宋_GB2312" w:hAnsi="Times New Roman" w:cs="Times New Roman" w:hint="eastAsia"/>
          <w:sz w:val="32"/>
          <w:szCs w:val="32"/>
        </w:rPr>
        <w:t>培育固碳能力</w:t>
      </w:r>
      <w:proofErr w:type="gramEnd"/>
      <w:r>
        <w:rPr>
          <w:rFonts w:ascii="Times New Roman" w:eastAsia="仿宋_GB2312" w:hAnsi="Times New Roman" w:cs="Times New Roman" w:hint="eastAsia"/>
          <w:sz w:val="32"/>
          <w:szCs w:val="32"/>
        </w:rPr>
        <w:t>强的植物品种，优化森林资源结构与分布格局；农田地区以休闲观光农业提高农业</w:t>
      </w:r>
      <w:proofErr w:type="gramStart"/>
      <w:r>
        <w:rPr>
          <w:rFonts w:ascii="Times New Roman" w:eastAsia="仿宋_GB2312" w:hAnsi="Times New Roman" w:cs="Times New Roman" w:hint="eastAsia"/>
          <w:sz w:val="32"/>
          <w:szCs w:val="32"/>
        </w:rPr>
        <w:t>固碳持续</w:t>
      </w:r>
      <w:proofErr w:type="gramEnd"/>
      <w:r>
        <w:rPr>
          <w:rFonts w:ascii="Times New Roman" w:eastAsia="仿宋_GB2312" w:hAnsi="Times New Roman" w:cs="Times New Roman" w:hint="eastAsia"/>
          <w:sz w:val="32"/>
          <w:szCs w:val="32"/>
        </w:rPr>
        <w:t>力，实现耕地和永久基本农田保护，统筹高标准农田建设，提升农田</w:t>
      </w:r>
      <w:proofErr w:type="gramStart"/>
      <w:r>
        <w:rPr>
          <w:rFonts w:ascii="Times New Roman" w:eastAsia="仿宋_GB2312" w:hAnsi="Times New Roman" w:cs="Times New Roman" w:hint="eastAsia"/>
          <w:sz w:val="32"/>
          <w:szCs w:val="32"/>
        </w:rPr>
        <w:t>土壤固碳能力</w:t>
      </w:r>
      <w:proofErr w:type="gramEnd"/>
      <w:r>
        <w:rPr>
          <w:rFonts w:ascii="Times New Roman" w:eastAsia="仿宋_GB2312" w:hAnsi="Times New Roman" w:cs="Times New Roman" w:hint="eastAsia"/>
          <w:sz w:val="32"/>
          <w:szCs w:val="32"/>
        </w:rPr>
        <w:t>；城市化地区合理布置街边绿地、口袋公园等场地，积极构建城市公园、湿地公园、郊野公园等开敞空间系统，以河湖岸带、青山绿园、城市道路为载体建立</w:t>
      </w:r>
      <w:proofErr w:type="gramStart"/>
      <w:r>
        <w:rPr>
          <w:rFonts w:ascii="Times New Roman" w:eastAsia="仿宋_GB2312" w:hAnsi="Times New Roman" w:cs="Times New Roman" w:hint="eastAsia"/>
          <w:sz w:val="32"/>
          <w:szCs w:val="32"/>
        </w:rPr>
        <w:t>集碳汇</w:t>
      </w:r>
      <w:proofErr w:type="gramEnd"/>
      <w:r>
        <w:rPr>
          <w:rFonts w:ascii="Times New Roman" w:eastAsia="仿宋_GB2312" w:hAnsi="Times New Roman" w:cs="Times New Roman" w:hint="eastAsia"/>
          <w:sz w:val="32"/>
          <w:szCs w:val="32"/>
        </w:rPr>
        <w:t>、生态、景观、休憩于一体的复合功能型廊道，提高</w:t>
      </w:r>
      <w:proofErr w:type="gramStart"/>
      <w:r>
        <w:rPr>
          <w:rFonts w:ascii="Times New Roman" w:eastAsia="仿宋_GB2312" w:hAnsi="Times New Roman" w:cs="Times New Roman" w:hint="eastAsia"/>
          <w:sz w:val="32"/>
          <w:szCs w:val="32"/>
        </w:rPr>
        <w:t>城市碳汇能力</w:t>
      </w:r>
      <w:proofErr w:type="gramEnd"/>
      <w:r>
        <w:rPr>
          <w:rFonts w:ascii="Times New Roman" w:eastAsia="仿宋_GB2312" w:hAnsi="Times New Roman" w:cs="Times New Roman" w:hint="eastAsia"/>
          <w:sz w:val="32"/>
          <w:szCs w:val="32"/>
        </w:rPr>
        <w:t>。</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“蓝色碳汇”：加强海域生态环境保护，发掘</w:t>
      </w:r>
      <w:proofErr w:type="gramStart"/>
      <w:r>
        <w:rPr>
          <w:rFonts w:ascii="Times New Roman" w:eastAsia="仿宋_GB2312" w:hAnsi="Times New Roman" w:cs="Times New Roman" w:hint="eastAsia"/>
          <w:sz w:val="32"/>
          <w:szCs w:val="32"/>
        </w:rPr>
        <w:t>蓝色碳汇潜力</w:t>
      </w:r>
      <w:proofErr w:type="gramEnd"/>
      <w:r>
        <w:rPr>
          <w:rFonts w:ascii="Times New Roman" w:eastAsia="仿宋_GB2312" w:hAnsi="Times New Roman" w:cs="Times New Roman" w:hint="eastAsia"/>
          <w:sz w:val="32"/>
          <w:szCs w:val="32"/>
        </w:rPr>
        <w:t>。推进滨海湿地保护修复，恢复海洋的植物生境；探索发展海上</w:t>
      </w:r>
      <w:proofErr w:type="gramStart"/>
      <w:r>
        <w:rPr>
          <w:rFonts w:ascii="Times New Roman" w:eastAsia="仿宋_GB2312" w:hAnsi="Times New Roman" w:cs="Times New Roman" w:hint="eastAsia"/>
          <w:sz w:val="32"/>
          <w:szCs w:val="32"/>
        </w:rPr>
        <w:t>光伏等提高海洋蓝碳效能</w:t>
      </w:r>
      <w:proofErr w:type="gramEnd"/>
      <w:r>
        <w:rPr>
          <w:rFonts w:ascii="Times New Roman" w:eastAsia="仿宋_GB2312" w:hAnsi="Times New Roman" w:cs="Times New Roman" w:hint="eastAsia"/>
          <w:sz w:val="32"/>
          <w:szCs w:val="32"/>
        </w:rPr>
        <w:t>的产业；推进海水养殖规范化，打造生态渔业牧场。有效利用海水资源，积极发展以浅海贝、藻养殖为重点的生态养殖，建立人工藻礁增殖区，构建贝、藻复合养殖模式，呈现多营养及养殖种类并存的形式，实现碳的汇集、存储和固定的系列化。</w:t>
      </w:r>
    </w:p>
    <w:p w:rsidR="00A765C5" w:rsidRDefault="00702EF7" w:rsidP="006B5E5D">
      <w:pPr>
        <w:pStyle w:val="2"/>
        <w:numPr>
          <w:ilvl w:val="0"/>
          <w:numId w:val="8"/>
        </w:numPr>
        <w:snapToGrid w:val="0"/>
        <w:spacing w:beforeLines="50" w:before="156" w:afterLines="50" w:after="156" w:line="600" w:lineRule="exact"/>
        <w:jc w:val="center"/>
        <w:rPr>
          <w:rFonts w:ascii="Times New Roman" w:eastAsia="黑体" w:hAnsi="Times New Roman"/>
          <w:b w:val="0"/>
          <w:bCs w:val="0"/>
          <w:sz w:val="32"/>
        </w:rPr>
      </w:pPr>
      <w:bookmarkStart w:id="876" w:name="_Toc2959"/>
      <w:bookmarkStart w:id="877" w:name="_Toc17306"/>
      <w:bookmarkStart w:id="878" w:name="_Toc7567"/>
      <w:bookmarkStart w:id="879" w:name="_Toc26871"/>
      <w:bookmarkStart w:id="880" w:name="_Toc20079"/>
      <w:bookmarkStart w:id="881" w:name="_Toc1846"/>
      <w:bookmarkStart w:id="882" w:name="_Toc30466"/>
      <w:bookmarkStart w:id="883" w:name="_Toc30503"/>
      <w:r>
        <w:rPr>
          <w:rFonts w:ascii="Times New Roman" w:eastAsia="黑体" w:hAnsi="Times New Roman" w:hint="eastAsia"/>
          <w:b w:val="0"/>
          <w:bCs w:val="0"/>
          <w:sz w:val="32"/>
        </w:rPr>
        <w:t>系统推进生态修复</w:t>
      </w:r>
      <w:bookmarkEnd w:id="867"/>
      <w:bookmarkEnd w:id="876"/>
      <w:bookmarkEnd w:id="877"/>
      <w:bookmarkEnd w:id="878"/>
      <w:bookmarkEnd w:id="879"/>
      <w:bookmarkEnd w:id="880"/>
      <w:bookmarkEnd w:id="881"/>
      <w:bookmarkEnd w:id="882"/>
      <w:bookmarkEnd w:id="883"/>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84" w:name="_Toc11981"/>
      <w:bookmarkStart w:id="885" w:name="_Toc18196"/>
      <w:bookmarkStart w:id="886" w:name="_Toc19169"/>
      <w:bookmarkStart w:id="887" w:name="_Toc16481"/>
      <w:bookmarkStart w:id="888" w:name="_Toc27588"/>
      <w:bookmarkStart w:id="889" w:name="_Toc20163"/>
      <w:bookmarkStart w:id="890" w:name="_Toc13330"/>
      <w:bookmarkStart w:id="891" w:name="_Toc1364"/>
      <w:r>
        <w:rPr>
          <w:rFonts w:ascii="Times New Roman" w:eastAsia="楷体_GB2312" w:hAnsi="Times New Roman" w:cs="Times New Roman" w:hint="eastAsia"/>
          <w:sz w:val="32"/>
          <w:szCs w:val="32"/>
        </w:rPr>
        <w:t>统筹山水林田湖海生态修复</w:t>
      </w:r>
      <w:bookmarkEnd w:id="884"/>
      <w:bookmarkEnd w:id="885"/>
      <w:bookmarkEnd w:id="886"/>
      <w:bookmarkEnd w:id="887"/>
      <w:bookmarkEnd w:id="888"/>
      <w:bookmarkEnd w:id="889"/>
      <w:bookmarkEnd w:id="890"/>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lastRenderedPageBreak/>
        <w:t>衔接《国家东北森林带生态保护和修复重大工程建设规划（</w:t>
      </w:r>
      <w:r>
        <w:rPr>
          <w:rFonts w:ascii="Times New Roman" w:eastAsia="仿宋_GB2312" w:hAnsi="Times New Roman" w:cs="Times New Roman" w:hint="eastAsia"/>
          <w:sz w:val="32"/>
          <w:szCs w:val="32"/>
        </w:rPr>
        <w:t>2021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年）》《辽宁省国土空间生态修复规划（</w:t>
      </w:r>
      <w:r>
        <w:rPr>
          <w:rFonts w:ascii="Times New Roman" w:eastAsia="仿宋_GB2312" w:hAnsi="Times New Roman" w:cs="Times New Roman" w:hint="eastAsia"/>
          <w:sz w:val="32"/>
          <w:szCs w:val="32"/>
        </w:rPr>
        <w:t>2021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年）》，重点开展辽东山地生态景观提升与生物多样性维护工程、辽东半岛山地森林质量精准提升工程、鸭绿江流域河岸生态修复工程、宽甸和</w:t>
      </w:r>
      <w:proofErr w:type="gramStart"/>
      <w:r>
        <w:rPr>
          <w:rFonts w:ascii="Times New Roman" w:eastAsia="仿宋_GB2312" w:hAnsi="Times New Roman" w:cs="Times New Roman" w:hint="eastAsia"/>
          <w:sz w:val="32"/>
          <w:szCs w:val="32"/>
        </w:rPr>
        <w:t>凤城市</w:t>
      </w:r>
      <w:proofErr w:type="gramEnd"/>
      <w:r>
        <w:rPr>
          <w:rFonts w:ascii="Times New Roman" w:eastAsia="仿宋_GB2312" w:hAnsi="Times New Roman" w:cs="Times New Roman" w:hint="eastAsia"/>
          <w:sz w:val="32"/>
          <w:szCs w:val="32"/>
        </w:rPr>
        <w:t>北部低山丘陵区水土流失等退化土地生态修复工程，恢复退化植被，提高植被覆盖率，提高森林水土保持能力，提升森林水源涵养及生物多样性维护功能；积极推进大洋河、爱河、蒲石河、浑江等水生态和水环境生态修复工程，通过河道生态封育、退耕湿地等措施改善水生态和水环境质量。</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92" w:name="_Toc14928"/>
      <w:bookmarkStart w:id="893" w:name="_Toc28174"/>
      <w:bookmarkStart w:id="894" w:name="_Toc22472"/>
      <w:bookmarkStart w:id="895" w:name="_Toc21066"/>
      <w:bookmarkStart w:id="896" w:name="_Toc12624"/>
      <w:bookmarkStart w:id="897" w:name="_Toc18067"/>
      <w:bookmarkStart w:id="898" w:name="_Toc14285"/>
      <w:r>
        <w:rPr>
          <w:rFonts w:ascii="Times New Roman" w:eastAsia="楷体_GB2312" w:hAnsi="Times New Roman" w:cs="Times New Roman" w:hint="eastAsia"/>
          <w:sz w:val="32"/>
          <w:szCs w:val="32"/>
        </w:rPr>
        <w:t>积极推进矿山生态修复</w:t>
      </w:r>
      <w:bookmarkEnd w:id="892"/>
      <w:bookmarkEnd w:id="893"/>
      <w:bookmarkEnd w:id="894"/>
      <w:bookmarkEnd w:id="895"/>
      <w:bookmarkEnd w:id="896"/>
      <w:bookmarkEnd w:id="897"/>
      <w:bookmarkEnd w:id="898"/>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工矿废弃地复垦。落实《辽宁省国土空间生态修复规划（</w:t>
      </w:r>
      <w:r>
        <w:rPr>
          <w:rFonts w:ascii="Times New Roman" w:eastAsia="仿宋_GB2312" w:hAnsi="Times New Roman" w:cs="Times New Roman" w:hint="eastAsia"/>
          <w:sz w:val="32"/>
          <w:szCs w:val="32"/>
        </w:rPr>
        <w:t>2021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中辽东山地水源涵养区内重点区域的生态安全格局和修复策略，坚持因地制宜、分类施策，加强历史遗留的工矿废弃地的复垦利用。对生产建设项目新形成的挖损、塌陷、压占、污染的土地进行全面复垦。工矿废弃地复垦主要安排在凤城市爱阳镇、通远堡、赛马镇，振安区，宽甸满族自治县灌水镇、大西岔镇、牛毛</w:t>
      </w:r>
      <w:proofErr w:type="gramStart"/>
      <w:r>
        <w:rPr>
          <w:rFonts w:ascii="Times New Roman" w:eastAsia="仿宋_GB2312" w:hAnsi="Times New Roman" w:cs="Times New Roman" w:hint="eastAsia"/>
          <w:sz w:val="32"/>
          <w:szCs w:val="32"/>
        </w:rPr>
        <w:t>坞</w:t>
      </w:r>
      <w:proofErr w:type="gramEnd"/>
      <w:r>
        <w:rPr>
          <w:rFonts w:ascii="Times New Roman" w:eastAsia="仿宋_GB2312" w:hAnsi="Times New Roman" w:cs="Times New Roman" w:hint="eastAsia"/>
          <w:sz w:val="32"/>
          <w:szCs w:val="32"/>
        </w:rPr>
        <w:t>镇，东港市十字街镇、长山镇、</w:t>
      </w:r>
      <w:proofErr w:type="gramStart"/>
      <w:r>
        <w:rPr>
          <w:rFonts w:ascii="Times New Roman" w:eastAsia="仿宋_GB2312" w:hAnsi="Times New Roman" w:cs="Times New Roman" w:hint="eastAsia"/>
          <w:sz w:val="32"/>
          <w:szCs w:val="32"/>
        </w:rPr>
        <w:t>前阳镇</w:t>
      </w:r>
      <w:proofErr w:type="gramEnd"/>
      <w:r>
        <w:rPr>
          <w:rFonts w:ascii="Times New Roman" w:eastAsia="仿宋_GB2312" w:hAnsi="Times New Roman" w:cs="Times New Roman" w:hint="eastAsia"/>
          <w:sz w:val="32"/>
          <w:szCs w:val="32"/>
        </w:rPr>
        <w:t>等区域的废弃采矿用地。</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矿山地质环境治理。落实《辽宁省国土空间生态修复规划（</w:t>
      </w:r>
      <w:r>
        <w:rPr>
          <w:rFonts w:ascii="Times New Roman" w:eastAsia="仿宋_GB2312" w:hAnsi="Times New Roman" w:cs="Times New Roman" w:hint="eastAsia"/>
          <w:sz w:val="32"/>
          <w:szCs w:val="32"/>
        </w:rPr>
        <w:t>2021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年）》中的重点矿区生态重塑重点工程，实施历史遗留矿山综合治理，开展矿山地形地貌重塑与生态植</w:t>
      </w:r>
      <w:r>
        <w:rPr>
          <w:rFonts w:ascii="Times New Roman" w:eastAsia="仿宋_GB2312" w:hAnsi="Times New Roman" w:cs="Times New Roman" w:hint="eastAsia"/>
          <w:sz w:val="32"/>
          <w:szCs w:val="32"/>
        </w:rPr>
        <w:lastRenderedPageBreak/>
        <w:t>被重建，实施矿山地质环境治理工程，恢复损毁矿山土地植被，改善矿区及周边地区生态环境；加强新建和生产矿山采选矿过程中的废污水处理、废石尾矿长期堆放的环境污染治理，实现同步恢复治理；加强矿山地质环境恢复治理技术研究与推广应用，开展矿山地质环境保护与恢复治理示范，促进矿山地质环境改善提升，逐步推进矿山生态环境恢复。</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899" w:name="_Toc20424"/>
      <w:bookmarkStart w:id="900" w:name="_Toc24152"/>
      <w:bookmarkStart w:id="901" w:name="_Toc13715"/>
      <w:bookmarkStart w:id="902" w:name="_Toc26657"/>
      <w:bookmarkStart w:id="903" w:name="_Toc18875"/>
      <w:bookmarkStart w:id="904" w:name="_Toc25007"/>
      <w:bookmarkStart w:id="905" w:name="_Toc27638"/>
      <w:bookmarkStart w:id="906" w:name="_Toc30749"/>
      <w:bookmarkEnd w:id="891"/>
      <w:r>
        <w:rPr>
          <w:rFonts w:ascii="Times New Roman" w:eastAsia="楷体_GB2312" w:hAnsi="Times New Roman" w:cs="Times New Roman" w:hint="eastAsia"/>
          <w:sz w:val="32"/>
          <w:szCs w:val="32"/>
        </w:rPr>
        <w:t>加强重大自然灾害生态修复</w:t>
      </w:r>
      <w:bookmarkEnd w:id="899"/>
      <w:bookmarkEnd w:id="900"/>
      <w:bookmarkEnd w:id="901"/>
      <w:bookmarkEnd w:id="902"/>
      <w:bookmarkEnd w:id="903"/>
      <w:bookmarkEnd w:id="904"/>
      <w:bookmarkEnd w:id="905"/>
      <w:bookmarkEnd w:id="906"/>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结合重大自然灾害损毁土地评价，对损毁土地进行分类，对可复垦利用的土地，及时采取措施进行复垦。对灾</w:t>
      </w:r>
      <w:proofErr w:type="gramStart"/>
      <w:r>
        <w:rPr>
          <w:rFonts w:ascii="Times New Roman" w:eastAsia="仿宋_GB2312" w:hAnsi="Times New Roman" w:cs="Times New Roman" w:hint="eastAsia"/>
          <w:sz w:val="32"/>
          <w:szCs w:val="32"/>
        </w:rPr>
        <w:t>毁程度</w:t>
      </w:r>
      <w:proofErr w:type="gramEnd"/>
      <w:r>
        <w:rPr>
          <w:rFonts w:ascii="Times New Roman" w:eastAsia="仿宋_GB2312" w:hAnsi="Times New Roman" w:cs="Times New Roman" w:hint="eastAsia"/>
          <w:sz w:val="32"/>
          <w:szCs w:val="32"/>
        </w:rPr>
        <w:t>较轻的土地，鼓励受灾农户和土地权利人自行复垦，有条件的地方政府可对农户进行适当补贴；对灾</w:t>
      </w:r>
      <w:proofErr w:type="gramStart"/>
      <w:r>
        <w:rPr>
          <w:rFonts w:ascii="Times New Roman" w:eastAsia="仿宋_GB2312" w:hAnsi="Times New Roman" w:cs="Times New Roman" w:hint="eastAsia"/>
          <w:sz w:val="32"/>
          <w:szCs w:val="32"/>
        </w:rPr>
        <w:t>毁程度</w:t>
      </w:r>
      <w:proofErr w:type="gramEnd"/>
      <w:r>
        <w:rPr>
          <w:rFonts w:ascii="Times New Roman" w:eastAsia="仿宋_GB2312" w:hAnsi="Times New Roman" w:cs="Times New Roman" w:hint="eastAsia"/>
          <w:sz w:val="32"/>
          <w:szCs w:val="32"/>
        </w:rPr>
        <w:t>较重的土地，可制定灾毁土地复垦规划，由地方政府组织复垦。加强耕地抗灾能力建设，结合耕地灾情监测，增强耕地抗洪能力，减少耕地灾毁数量。</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907" w:name="_Toc18982"/>
      <w:bookmarkStart w:id="908" w:name="_Toc13192"/>
      <w:r>
        <w:rPr>
          <w:rFonts w:ascii="Times New Roman" w:eastAsia="楷体_GB2312" w:hAnsi="Times New Roman" w:cs="Times New Roman" w:hint="eastAsia"/>
          <w:sz w:val="32"/>
          <w:szCs w:val="32"/>
        </w:rPr>
        <w:t>有序推进土壤生态修复</w:t>
      </w:r>
      <w:bookmarkEnd w:id="907"/>
      <w:bookmarkEnd w:id="90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治理土壤污染，支持高效农业和生态观光农业；改善城镇周围地质灾害隐患处土壤环境；在鸟类停歇地内种植当地的碱蓬、芦苇、香蒲等植物，改善土壤条件，提高湿地生产力；加强尾矿渣堆场和尾矿库土地复垦，改善矿区土壤环境，消除矿山露天开采边坡崩塌、滑坡灾害隐患。</w:t>
      </w:r>
    </w:p>
    <w:p w:rsidR="00A765C5" w:rsidRDefault="00A765C5">
      <w:pPr>
        <w:rPr>
          <w:rFonts w:ascii="Times New Roman" w:eastAsia="方正小标宋_GBK" w:hAnsi="Times New Roman" w:cs="Times New Roman"/>
          <w:sz w:val="36"/>
          <w:szCs w:val="36"/>
        </w:rPr>
        <w:sectPr w:rsidR="00A765C5">
          <w:pgSz w:w="11850" w:h="16783"/>
          <w:pgMar w:top="1440" w:right="1800" w:bottom="1440" w:left="1800" w:header="720" w:footer="720" w:gutter="0"/>
          <w:cols w:space="720"/>
          <w:docGrid w:type="lines" w:linePitch="312"/>
        </w:sectPr>
      </w:pPr>
      <w:bookmarkStart w:id="909" w:name="_Toc12199"/>
      <w:bookmarkStart w:id="910" w:name="_Toc15541"/>
      <w:bookmarkStart w:id="911" w:name="_Toc16356"/>
      <w:bookmarkStart w:id="912" w:name="_Toc24617"/>
      <w:bookmarkStart w:id="913" w:name="_Toc10340"/>
      <w:bookmarkStart w:id="914" w:name="_Toc6017"/>
      <w:bookmarkStart w:id="915" w:name="_Toc18876"/>
      <w:bookmarkStart w:id="916" w:name="_Toc17782"/>
      <w:bookmarkStart w:id="917" w:name="_Toc28223"/>
      <w:bookmarkStart w:id="918" w:name="_Toc12438"/>
      <w:bookmarkStart w:id="919" w:name="_Toc23673"/>
      <w:bookmarkStart w:id="920" w:name="_Toc11002"/>
    </w:p>
    <w:p w:rsidR="00A765C5" w:rsidRDefault="00702EF7">
      <w:pPr>
        <w:rPr>
          <w:rFonts w:ascii="Times New Roman" w:eastAsia="方正小标宋_GBK" w:hAnsi="Times New Roman" w:cs="Times New Roman"/>
          <w:sz w:val="36"/>
          <w:szCs w:val="36"/>
        </w:rPr>
        <w:sectPr w:rsidR="00A765C5">
          <w:pgSz w:w="11850" w:h="16783"/>
          <w:pgMar w:top="1440" w:right="1800" w:bottom="1440" w:left="1800" w:header="720" w:footer="720" w:gutter="0"/>
          <w:cols w:space="720"/>
          <w:docGrid w:type="lines" w:linePitch="312"/>
        </w:sectPr>
      </w:pPr>
      <w:r>
        <w:rPr>
          <w:rFonts w:ascii="Times New Roman" w:eastAsia="方正小标宋_GBK" w:hAnsi="Times New Roman" w:cs="Times New Roman" w:hint="eastAsia"/>
          <w:noProof/>
          <w:sz w:val="36"/>
          <w:szCs w:val="36"/>
        </w:rPr>
        <w:lastRenderedPageBreak/>
        <w:drawing>
          <wp:inline distT="0" distB="0" distL="114300" distR="114300">
            <wp:extent cx="5232400" cy="7319010"/>
            <wp:effectExtent l="0" t="0" r="6350" b="5715"/>
            <wp:docPr id="11" name="图片 11" descr="210600丹东市15市域生态系统保护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10600丹东市15市域生态系统保护规划图"/>
                    <pic:cNvPicPr>
                      <a:picLocks noChangeAspect="1"/>
                    </pic:cNvPicPr>
                  </pic:nvPicPr>
                  <pic:blipFill>
                    <a:blip r:embed="rId14"/>
                    <a:stretch>
                      <a:fillRect/>
                    </a:stretch>
                  </pic:blipFill>
                  <pic:spPr>
                    <a:xfrm>
                      <a:off x="0" y="0"/>
                      <a:ext cx="5232400" cy="7319010"/>
                    </a:xfrm>
                    <a:prstGeom prst="rect">
                      <a:avLst/>
                    </a:prstGeom>
                  </pic:spPr>
                </pic:pic>
              </a:graphicData>
            </a:graphic>
          </wp:inline>
        </w:drawing>
      </w: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921" w:name="_Toc27757"/>
      <w:bookmarkStart w:id="922" w:name="_Toc8587"/>
      <w:r>
        <w:rPr>
          <w:rFonts w:ascii="Times New Roman" w:eastAsia="方正小标宋_GBK" w:hAnsi="Times New Roman" w:cs="Times New Roman" w:hint="eastAsia"/>
          <w:b w:val="0"/>
          <w:sz w:val="36"/>
          <w:szCs w:val="36"/>
        </w:rPr>
        <w:lastRenderedPageBreak/>
        <w:t>集聚提升城镇空间</w:t>
      </w:r>
      <w:bookmarkEnd w:id="909"/>
      <w:bookmarkEnd w:id="910"/>
      <w:bookmarkEnd w:id="911"/>
      <w:bookmarkEnd w:id="912"/>
      <w:bookmarkEnd w:id="913"/>
      <w:bookmarkEnd w:id="914"/>
      <w:r>
        <w:rPr>
          <w:rFonts w:ascii="Times New Roman" w:eastAsia="方正小标宋_GBK" w:hAnsi="Times New Roman" w:cs="Times New Roman" w:hint="eastAsia"/>
          <w:b w:val="0"/>
          <w:sz w:val="36"/>
          <w:szCs w:val="36"/>
        </w:rPr>
        <w:t>，保障</w:t>
      </w:r>
      <w:proofErr w:type="gramStart"/>
      <w:r>
        <w:rPr>
          <w:rFonts w:ascii="Times New Roman" w:eastAsia="方正小标宋_GBK" w:hAnsi="Times New Roman" w:cs="Times New Roman" w:hint="eastAsia"/>
          <w:b w:val="0"/>
          <w:sz w:val="36"/>
          <w:szCs w:val="36"/>
        </w:rPr>
        <w:t>产城有序</w:t>
      </w:r>
      <w:proofErr w:type="gramEnd"/>
      <w:r>
        <w:rPr>
          <w:rFonts w:ascii="Times New Roman" w:eastAsia="方正小标宋_GBK" w:hAnsi="Times New Roman" w:cs="Times New Roman" w:hint="eastAsia"/>
          <w:b w:val="0"/>
          <w:sz w:val="36"/>
          <w:szCs w:val="36"/>
        </w:rPr>
        <w:t>发展</w:t>
      </w:r>
      <w:bookmarkEnd w:id="915"/>
      <w:bookmarkEnd w:id="916"/>
      <w:bookmarkEnd w:id="917"/>
      <w:bookmarkEnd w:id="918"/>
      <w:bookmarkEnd w:id="919"/>
      <w:bookmarkEnd w:id="920"/>
      <w:bookmarkEnd w:id="921"/>
      <w:bookmarkEnd w:id="922"/>
    </w:p>
    <w:p w:rsidR="00A765C5" w:rsidRDefault="00702EF7" w:rsidP="006B5E5D">
      <w:pPr>
        <w:pStyle w:val="2"/>
        <w:numPr>
          <w:ilvl w:val="0"/>
          <w:numId w:val="9"/>
        </w:numPr>
        <w:snapToGrid w:val="0"/>
        <w:spacing w:beforeLines="50" w:before="156" w:afterLines="50" w:after="156" w:line="600" w:lineRule="exact"/>
        <w:jc w:val="center"/>
        <w:rPr>
          <w:rFonts w:ascii="Times New Roman" w:eastAsia="黑体" w:hAnsi="Times New Roman"/>
          <w:b w:val="0"/>
          <w:bCs w:val="0"/>
          <w:sz w:val="32"/>
        </w:rPr>
      </w:pPr>
      <w:bookmarkStart w:id="923" w:name="_Toc27012"/>
      <w:bookmarkStart w:id="924" w:name="_Toc8848"/>
      <w:bookmarkStart w:id="925" w:name="_Toc28562"/>
      <w:bookmarkStart w:id="926" w:name="_Toc2666"/>
      <w:bookmarkStart w:id="927" w:name="_Toc8691"/>
      <w:bookmarkStart w:id="928" w:name="_Toc8370"/>
      <w:bookmarkStart w:id="929" w:name="_Toc22882"/>
      <w:bookmarkStart w:id="930" w:name="_Toc11672"/>
      <w:bookmarkStart w:id="931" w:name="_Toc25066"/>
      <w:bookmarkStart w:id="932" w:name="_Toc29347"/>
      <w:r>
        <w:rPr>
          <w:rFonts w:ascii="Times New Roman" w:eastAsia="黑体" w:hAnsi="Times New Roman" w:hint="eastAsia"/>
          <w:b w:val="0"/>
          <w:bCs w:val="0"/>
          <w:sz w:val="32"/>
        </w:rPr>
        <w:t>优化城镇体系和空间格局</w:t>
      </w:r>
      <w:bookmarkEnd w:id="923"/>
      <w:bookmarkEnd w:id="924"/>
      <w:bookmarkEnd w:id="925"/>
      <w:bookmarkEnd w:id="926"/>
      <w:bookmarkEnd w:id="927"/>
      <w:bookmarkEnd w:id="928"/>
      <w:bookmarkEnd w:id="929"/>
      <w:bookmarkEnd w:id="930"/>
      <w:bookmarkEnd w:id="931"/>
      <w:bookmarkEnd w:id="932"/>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933" w:name="_Toc88"/>
      <w:bookmarkStart w:id="934" w:name="_Toc25682"/>
      <w:bookmarkStart w:id="935" w:name="_Toc7352"/>
      <w:bookmarkStart w:id="936" w:name="_Toc30280"/>
      <w:bookmarkStart w:id="937" w:name="_Toc20957"/>
      <w:bookmarkStart w:id="938" w:name="_Toc23521"/>
      <w:bookmarkStart w:id="939" w:name="_Toc23994"/>
      <w:bookmarkStart w:id="940" w:name="_Toc31946"/>
      <w:r>
        <w:rPr>
          <w:rFonts w:ascii="Times New Roman" w:eastAsia="楷体_GB2312" w:hAnsi="Times New Roman" w:cs="Times New Roman" w:hint="eastAsia"/>
          <w:sz w:val="32"/>
          <w:szCs w:val="32"/>
        </w:rPr>
        <w:t>人口与城镇化</w:t>
      </w:r>
      <w:bookmarkEnd w:id="933"/>
      <w:bookmarkEnd w:id="934"/>
      <w:bookmarkEnd w:id="935"/>
      <w:bookmarkEnd w:id="936"/>
      <w:bookmarkEnd w:id="937"/>
      <w:bookmarkEnd w:id="938"/>
      <w:bookmarkEnd w:id="93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丹东市现状常住人口</w:t>
      </w:r>
      <w:r>
        <w:rPr>
          <w:rFonts w:ascii="Times New Roman" w:eastAsia="仿宋_GB2312" w:hAnsi="Times New Roman" w:cs="Times New Roman" w:hint="eastAsia"/>
          <w:sz w:val="32"/>
          <w:szCs w:val="32"/>
        </w:rPr>
        <w:t>218.9</w:t>
      </w:r>
      <w:r>
        <w:rPr>
          <w:rFonts w:ascii="Times New Roman" w:eastAsia="仿宋_GB2312" w:hAnsi="Times New Roman" w:cs="Times New Roman" w:hint="eastAsia"/>
          <w:sz w:val="32"/>
          <w:szCs w:val="32"/>
        </w:rPr>
        <w:t>万人，常住人口城镇化率</w:t>
      </w:r>
      <w:r>
        <w:rPr>
          <w:rFonts w:ascii="Times New Roman" w:eastAsia="仿宋_GB2312" w:hAnsi="Times New Roman" w:cs="Times New Roman" w:hint="eastAsia"/>
          <w:sz w:val="32"/>
          <w:szCs w:val="32"/>
        </w:rPr>
        <w:t>68.9%</w:t>
      </w:r>
      <w:r>
        <w:rPr>
          <w:rFonts w:ascii="Times New Roman" w:eastAsia="仿宋_GB2312" w:hAnsi="Times New Roman" w:cs="Times New Roman" w:hint="eastAsia"/>
          <w:sz w:val="32"/>
          <w:szCs w:val="32"/>
        </w:rPr>
        <w:t>。伴随着新型城镇化战略的深入推进，兴边富民、支持沿边重点地区开发开放等战略部署，全面振兴、全方位振兴等政策举措，以及我国人口生育政策和户籍制度改革，丹东市经济社会发展和产业结构将不断优化调整，人口外流情况将有所控制，对外来人口的吸引能力将有所提升。按照稳定发展、稳步增长模式，到</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年，市域常住人口规模控制在</w:t>
      </w:r>
      <w:r>
        <w:rPr>
          <w:rFonts w:ascii="Times New Roman" w:eastAsia="仿宋_GB2312" w:hAnsi="Times New Roman" w:cs="Times New Roman" w:hint="eastAsia"/>
          <w:sz w:val="32"/>
          <w:szCs w:val="32"/>
        </w:rPr>
        <w:t>259</w:t>
      </w:r>
      <w:r>
        <w:rPr>
          <w:rFonts w:ascii="Times New Roman" w:eastAsia="仿宋_GB2312" w:hAnsi="Times New Roman" w:cs="Times New Roman" w:hint="eastAsia"/>
          <w:sz w:val="32"/>
          <w:szCs w:val="32"/>
        </w:rPr>
        <w:t>万人，常住人口城镇化率为</w:t>
      </w:r>
      <w:r>
        <w:rPr>
          <w:rFonts w:ascii="Times New Roman" w:eastAsia="仿宋_GB2312" w:hAnsi="Times New Roman" w:cs="Times New Roman" w:hint="eastAsia"/>
          <w:sz w:val="32"/>
          <w:szCs w:val="32"/>
        </w:rPr>
        <w:t>75.7%</w:t>
      </w:r>
      <w:r>
        <w:rPr>
          <w:rFonts w:ascii="Times New Roman" w:eastAsia="仿宋_GB2312" w:hAnsi="Times New Roman" w:cs="Times New Roman" w:hint="eastAsia"/>
          <w:sz w:val="32"/>
          <w:szCs w:val="32"/>
        </w:rPr>
        <w:t>。</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941" w:name="_Toc7786"/>
      <w:bookmarkStart w:id="942" w:name="_Toc9541"/>
      <w:bookmarkStart w:id="943" w:name="_Toc18356"/>
      <w:bookmarkStart w:id="944" w:name="_Toc18019"/>
      <w:bookmarkStart w:id="945" w:name="_Toc3832"/>
      <w:bookmarkStart w:id="946" w:name="_Toc25373"/>
      <w:bookmarkStart w:id="947" w:name="_Toc18120"/>
      <w:r>
        <w:rPr>
          <w:rFonts w:ascii="Times New Roman" w:eastAsia="楷体_GB2312" w:hAnsi="Times New Roman" w:cs="Times New Roman" w:hint="eastAsia"/>
          <w:sz w:val="32"/>
          <w:szCs w:val="32"/>
        </w:rPr>
        <w:t>完善城镇体系</w:t>
      </w:r>
      <w:bookmarkEnd w:id="940"/>
      <w:bookmarkEnd w:id="941"/>
      <w:bookmarkEnd w:id="942"/>
      <w:bookmarkEnd w:id="943"/>
      <w:bookmarkEnd w:id="944"/>
      <w:bookmarkEnd w:id="945"/>
      <w:bookmarkEnd w:id="946"/>
      <w:bookmarkEnd w:id="94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形成“中心城市</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副中心城市</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县级中心城市</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重点镇</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一般镇”五级网络化城镇体系。中心城市为丹东中心城区；副中心城市为东港城区；县级中心城市包括凤城城区、宽甸满族自治县城区；重点镇</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个，包</w:t>
      </w:r>
      <w:proofErr w:type="gramStart"/>
      <w:r>
        <w:rPr>
          <w:rFonts w:ascii="Times New Roman" w:eastAsia="仿宋_GB2312" w:hAnsi="Times New Roman" w:cs="Times New Roman" w:hint="eastAsia"/>
          <w:sz w:val="32"/>
          <w:szCs w:val="32"/>
        </w:rPr>
        <w:t>括孤</w:t>
      </w:r>
      <w:proofErr w:type="gramEnd"/>
      <w:r>
        <w:rPr>
          <w:rFonts w:ascii="Times New Roman" w:eastAsia="仿宋_GB2312" w:hAnsi="Times New Roman" w:cs="Times New Roman" w:hint="eastAsia"/>
          <w:sz w:val="32"/>
          <w:szCs w:val="32"/>
        </w:rPr>
        <w:t>山镇、</w:t>
      </w:r>
      <w:proofErr w:type="gramStart"/>
      <w:r>
        <w:rPr>
          <w:rFonts w:ascii="Times New Roman" w:eastAsia="仿宋_GB2312" w:hAnsi="Times New Roman" w:cs="Times New Roman" w:hint="eastAsia"/>
          <w:sz w:val="32"/>
          <w:szCs w:val="32"/>
        </w:rPr>
        <w:t>前阳镇</w:t>
      </w:r>
      <w:proofErr w:type="gramEnd"/>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通远堡镇</w:t>
      </w:r>
      <w:proofErr w:type="gramEnd"/>
      <w:r>
        <w:rPr>
          <w:rFonts w:ascii="Times New Roman" w:eastAsia="仿宋_GB2312" w:hAnsi="Times New Roman" w:cs="Times New Roman" w:hint="eastAsia"/>
          <w:sz w:val="32"/>
          <w:szCs w:val="32"/>
        </w:rPr>
        <w:t>、长</w:t>
      </w:r>
      <w:proofErr w:type="gramStart"/>
      <w:r>
        <w:rPr>
          <w:rFonts w:ascii="Times New Roman" w:eastAsia="仿宋_GB2312" w:hAnsi="Times New Roman" w:cs="Times New Roman" w:hint="eastAsia"/>
          <w:sz w:val="32"/>
          <w:szCs w:val="32"/>
        </w:rPr>
        <w:t>甸</w:t>
      </w:r>
      <w:proofErr w:type="gramEnd"/>
      <w:r>
        <w:rPr>
          <w:rFonts w:ascii="Times New Roman" w:eastAsia="仿宋_GB2312" w:hAnsi="Times New Roman" w:cs="Times New Roman" w:hint="eastAsia"/>
          <w:sz w:val="32"/>
          <w:szCs w:val="32"/>
        </w:rPr>
        <w:t>镇、</w:t>
      </w:r>
      <w:proofErr w:type="gramStart"/>
      <w:r>
        <w:rPr>
          <w:rFonts w:ascii="Times New Roman" w:eastAsia="仿宋_GB2312" w:hAnsi="Times New Roman" w:cs="Times New Roman" w:hint="eastAsia"/>
          <w:sz w:val="32"/>
          <w:szCs w:val="32"/>
        </w:rPr>
        <w:t>灌水镇</w:t>
      </w:r>
      <w:proofErr w:type="gramEnd"/>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个产业重点镇，五龙背镇、</w:t>
      </w:r>
      <w:proofErr w:type="gramStart"/>
      <w:r>
        <w:rPr>
          <w:rFonts w:ascii="Times New Roman" w:eastAsia="仿宋_GB2312" w:hAnsi="Times New Roman" w:cs="Times New Roman" w:hint="eastAsia"/>
          <w:sz w:val="32"/>
          <w:szCs w:val="32"/>
        </w:rPr>
        <w:t>北井子</w:t>
      </w:r>
      <w:proofErr w:type="gramEnd"/>
      <w:r>
        <w:rPr>
          <w:rFonts w:ascii="Times New Roman" w:eastAsia="仿宋_GB2312" w:hAnsi="Times New Roman" w:cs="Times New Roman" w:hint="eastAsia"/>
          <w:sz w:val="32"/>
          <w:szCs w:val="32"/>
        </w:rPr>
        <w:t>镇、</w:t>
      </w:r>
      <w:proofErr w:type="gramStart"/>
      <w:r>
        <w:rPr>
          <w:rFonts w:ascii="Times New Roman" w:eastAsia="仿宋_GB2312" w:hAnsi="Times New Roman" w:cs="Times New Roman" w:hint="eastAsia"/>
          <w:sz w:val="32"/>
          <w:szCs w:val="32"/>
        </w:rPr>
        <w:t>东汤镇</w:t>
      </w:r>
      <w:proofErr w:type="gramEnd"/>
      <w:r>
        <w:rPr>
          <w:rFonts w:ascii="Times New Roman" w:eastAsia="仿宋_GB2312" w:hAnsi="Times New Roman" w:cs="Times New Roman" w:hint="eastAsia"/>
          <w:sz w:val="32"/>
          <w:szCs w:val="32"/>
        </w:rPr>
        <w:t>、刘家河镇</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个特色重点镇；其余乡镇均为一般镇。</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948" w:name="_Toc25564"/>
      <w:bookmarkStart w:id="949" w:name="_Toc20792"/>
      <w:bookmarkStart w:id="950" w:name="_Toc26852"/>
      <w:bookmarkStart w:id="951" w:name="_Toc7960"/>
      <w:bookmarkStart w:id="952" w:name="_Toc22093"/>
      <w:bookmarkStart w:id="953" w:name="_Toc9808"/>
      <w:bookmarkStart w:id="954" w:name="_Toc13618"/>
      <w:bookmarkStart w:id="955" w:name="_Toc2308"/>
      <w:r>
        <w:rPr>
          <w:rFonts w:ascii="Times New Roman" w:eastAsia="楷体_GB2312" w:hAnsi="Times New Roman" w:cs="Times New Roman" w:hint="eastAsia"/>
          <w:sz w:val="32"/>
          <w:szCs w:val="32"/>
        </w:rPr>
        <w:t>明确城镇职能</w:t>
      </w:r>
      <w:bookmarkEnd w:id="948"/>
      <w:bookmarkEnd w:id="949"/>
      <w:bookmarkEnd w:id="950"/>
      <w:bookmarkEnd w:id="951"/>
      <w:bookmarkEnd w:id="952"/>
      <w:bookmarkEnd w:id="953"/>
      <w:bookmarkEnd w:id="954"/>
      <w:bookmarkEnd w:id="95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优化提升城镇空间布局结构形态，完善城区综合服务功</w:t>
      </w:r>
      <w:r>
        <w:rPr>
          <w:rFonts w:ascii="Times New Roman" w:eastAsia="仿宋_GB2312" w:hAnsi="Times New Roman" w:cs="Times New Roman" w:hint="eastAsia"/>
          <w:sz w:val="32"/>
          <w:szCs w:val="32"/>
        </w:rPr>
        <w:lastRenderedPageBreak/>
        <w:t>能，重点发展县域经济，提高县城和重点镇人口集聚能力，形成以中心城区为核心，辐射带动县域及重点镇，以重点镇为依托，并带动一般镇乡的发展格局，包括</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座综合型城镇，</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座工贸型城镇，</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座旅游型城镇，</w:t>
      </w:r>
      <w:r>
        <w:rPr>
          <w:rFonts w:ascii="Times New Roman" w:eastAsia="仿宋_GB2312" w:hAnsi="Times New Roman" w:cs="Times New Roman" w:hint="eastAsia"/>
          <w:sz w:val="32"/>
          <w:szCs w:val="32"/>
        </w:rPr>
        <w:t>41</w:t>
      </w:r>
      <w:r>
        <w:rPr>
          <w:rFonts w:ascii="Times New Roman" w:eastAsia="仿宋_GB2312" w:hAnsi="Times New Roman" w:cs="Times New Roman" w:hint="eastAsia"/>
          <w:sz w:val="32"/>
          <w:szCs w:val="32"/>
        </w:rPr>
        <w:t>座农贸型城镇（乡）。</w:t>
      </w:r>
    </w:p>
    <w:p w:rsidR="00A765C5" w:rsidRDefault="00702EF7" w:rsidP="006B5E5D">
      <w:pPr>
        <w:pStyle w:val="2"/>
        <w:numPr>
          <w:ilvl w:val="0"/>
          <w:numId w:val="9"/>
        </w:numPr>
        <w:snapToGrid w:val="0"/>
        <w:spacing w:beforeLines="50" w:before="156" w:afterLines="50" w:after="156" w:line="600" w:lineRule="exact"/>
        <w:jc w:val="center"/>
        <w:rPr>
          <w:rFonts w:ascii="Times New Roman" w:eastAsia="黑体" w:hAnsi="Times New Roman"/>
          <w:b w:val="0"/>
          <w:bCs w:val="0"/>
          <w:sz w:val="32"/>
        </w:rPr>
      </w:pPr>
      <w:bookmarkStart w:id="956" w:name="_Toc17930"/>
      <w:bookmarkStart w:id="957" w:name="_Toc11896"/>
      <w:bookmarkStart w:id="958" w:name="_Toc31453"/>
      <w:bookmarkStart w:id="959" w:name="_Toc31139"/>
      <w:bookmarkStart w:id="960" w:name="_Toc15701"/>
      <w:bookmarkStart w:id="961" w:name="_Toc9314"/>
      <w:bookmarkStart w:id="962" w:name="_Toc5017"/>
      <w:bookmarkStart w:id="963" w:name="_Toc221"/>
      <w:bookmarkStart w:id="964" w:name="_Toc10630"/>
      <w:bookmarkStart w:id="965" w:name="_Toc8483"/>
      <w:r>
        <w:rPr>
          <w:rFonts w:ascii="Times New Roman" w:eastAsia="黑体" w:hAnsi="Times New Roman" w:hint="eastAsia"/>
          <w:b w:val="0"/>
          <w:bCs w:val="0"/>
          <w:sz w:val="32"/>
        </w:rPr>
        <w:t>强化产业和创新空间</w:t>
      </w:r>
      <w:bookmarkEnd w:id="956"/>
      <w:bookmarkEnd w:id="957"/>
      <w:bookmarkEnd w:id="958"/>
      <w:r>
        <w:rPr>
          <w:rFonts w:ascii="Times New Roman" w:eastAsia="黑体" w:hAnsi="Times New Roman" w:hint="eastAsia"/>
          <w:b w:val="0"/>
          <w:bCs w:val="0"/>
          <w:sz w:val="32"/>
        </w:rPr>
        <w:t>保障</w:t>
      </w:r>
      <w:bookmarkEnd w:id="959"/>
      <w:bookmarkEnd w:id="960"/>
      <w:bookmarkEnd w:id="961"/>
      <w:bookmarkEnd w:id="962"/>
      <w:bookmarkEnd w:id="963"/>
      <w:bookmarkEnd w:id="964"/>
      <w:bookmarkEnd w:id="965"/>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966" w:name="_Toc31839"/>
      <w:bookmarkStart w:id="967" w:name="_Toc27948"/>
      <w:bookmarkStart w:id="968" w:name="_Toc5424"/>
      <w:bookmarkStart w:id="969" w:name="_Toc24849"/>
      <w:bookmarkStart w:id="970" w:name="_Toc20514"/>
      <w:bookmarkStart w:id="971" w:name="_Toc32193"/>
      <w:bookmarkStart w:id="972" w:name="_Toc26587"/>
      <w:bookmarkStart w:id="973" w:name="_Toc25719"/>
      <w:r>
        <w:rPr>
          <w:rFonts w:ascii="Times New Roman" w:eastAsia="楷体_GB2312" w:hAnsi="Times New Roman" w:cs="Times New Roman" w:hint="eastAsia"/>
          <w:sz w:val="32"/>
          <w:szCs w:val="32"/>
        </w:rPr>
        <w:t>明确产业发展方向</w:t>
      </w:r>
      <w:bookmarkEnd w:id="966"/>
      <w:bookmarkEnd w:id="967"/>
      <w:bookmarkEnd w:id="968"/>
      <w:bookmarkEnd w:id="969"/>
      <w:bookmarkEnd w:id="970"/>
      <w:bookmarkEnd w:id="971"/>
      <w:bookmarkEnd w:id="972"/>
      <w:bookmarkEnd w:id="97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实施产业提振行动，重振工业经济雄风。以品牌化、深加工化、集群化为发展方向，加快工业结构调整，着力做大做</w:t>
      </w:r>
      <w:proofErr w:type="gramStart"/>
      <w:r>
        <w:rPr>
          <w:rFonts w:ascii="Times New Roman" w:eastAsia="仿宋_GB2312" w:hAnsi="Times New Roman" w:cs="Times New Roman" w:hint="eastAsia"/>
          <w:sz w:val="32"/>
          <w:szCs w:val="32"/>
        </w:rPr>
        <w:t>强汽车</w:t>
      </w:r>
      <w:proofErr w:type="gramEnd"/>
      <w:r>
        <w:rPr>
          <w:rFonts w:ascii="Times New Roman" w:eastAsia="仿宋_GB2312" w:hAnsi="Times New Roman" w:cs="Times New Roman" w:hint="eastAsia"/>
          <w:sz w:val="32"/>
          <w:szCs w:val="32"/>
        </w:rPr>
        <w:t>及汽车零部件、纺织服装、仪器仪表和农产品加工四大主导产业，培育壮大新一代信息技术、新材料、新能源、高端装备制造、满族医药等新兴产业，加快构建工业经济高质量发展体系，全面提升先进制造业核心竞争力。</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仿宋_GB2312" w:hAnsi="Times New Roman" w:cs="Times New Roman"/>
          <w:sz w:val="32"/>
          <w:szCs w:val="32"/>
        </w:rPr>
      </w:pPr>
      <w:bookmarkStart w:id="974" w:name="_Toc582"/>
      <w:bookmarkStart w:id="975" w:name="_Toc11700"/>
      <w:bookmarkStart w:id="976" w:name="_Toc27396"/>
      <w:bookmarkStart w:id="977" w:name="_Toc21679"/>
      <w:bookmarkStart w:id="978" w:name="_Toc19922"/>
      <w:bookmarkStart w:id="979" w:name="_Toc4908"/>
      <w:bookmarkStart w:id="980" w:name="_Toc22048"/>
      <w:bookmarkStart w:id="981" w:name="_Toc16396"/>
      <w:r>
        <w:rPr>
          <w:rFonts w:ascii="Times New Roman" w:eastAsia="楷体_GB2312" w:hAnsi="Times New Roman" w:cs="Times New Roman" w:hint="eastAsia"/>
          <w:sz w:val="32"/>
          <w:szCs w:val="32"/>
        </w:rPr>
        <w:t>优化产业格局</w:t>
      </w:r>
      <w:bookmarkEnd w:id="974"/>
      <w:bookmarkEnd w:id="975"/>
      <w:bookmarkEnd w:id="976"/>
      <w:bookmarkEnd w:id="977"/>
      <w:bookmarkEnd w:id="978"/>
      <w:bookmarkEnd w:id="979"/>
      <w:bookmarkEnd w:id="980"/>
      <w:bookmarkEnd w:id="98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推进集群化、园区化发展，形成“</w:t>
      </w:r>
      <w:r>
        <w:rPr>
          <w:rFonts w:ascii="Times New Roman" w:eastAsia="仿宋_GB2312" w:hAnsi="Times New Roman" w:cs="Times New Roman" w:hint="eastAsia"/>
          <w:sz w:val="32"/>
          <w:szCs w:val="32"/>
        </w:rPr>
        <w:t>1+3+9</w:t>
      </w:r>
      <w:r>
        <w:rPr>
          <w:rFonts w:ascii="Times New Roman" w:eastAsia="仿宋_GB2312" w:hAnsi="Times New Roman" w:cs="Times New Roman" w:hint="eastAsia"/>
          <w:sz w:val="32"/>
          <w:szCs w:val="32"/>
        </w:rPr>
        <w:t>”产业格局。</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个港产城一体化</w:t>
      </w:r>
      <w:proofErr w:type="gramEnd"/>
      <w:r>
        <w:rPr>
          <w:rFonts w:ascii="Times New Roman" w:eastAsia="仿宋_GB2312" w:hAnsi="Times New Roman" w:cs="Times New Roman" w:hint="eastAsia"/>
          <w:sz w:val="32"/>
          <w:szCs w:val="32"/>
        </w:rPr>
        <w:t>协调发展区：打造未来产业集聚发展重点区域，构建布局合理、生态宜居、承载力强的</w:t>
      </w:r>
      <w:proofErr w:type="gramStart"/>
      <w:r>
        <w:rPr>
          <w:rFonts w:ascii="Times New Roman" w:eastAsia="仿宋_GB2312" w:hAnsi="Times New Roman" w:cs="Times New Roman" w:hint="eastAsia"/>
          <w:sz w:val="32"/>
          <w:szCs w:val="32"/>
        </w:rPr>
        <w:t>港产城一体化</w:t>
      </w:r>
      <w:proofErr w:type="gramEnd"/>
      <w:r>
        <w:rPr>
          <w:rFonts w:ascii="Times New Roman" w:eastAsia="仿宋_GB2312" w:hAnsi="Times New Roman" w:cs="Times New Roman" w:hint="eastAsia"/>
          <w:sz w:val="32"/>
          <w:szCs w:val="32"/>
        </w:rPr>
        <w:t>协调发展新格局，重点承载综合物流、进出口加工、涉海装备、现代服务等多元化临港产业体系。</w:t>
      </w:r>
    </w:p>
    <w:p w:rsidR="00A765C5" w:rsidRDefault="00702EF7">
      <w:pPr>
        <w:snapToGrid w:val="0"/>
        <w:spacing w:line="600" w:lineRule="exact"/>
        <w:ind w:firstLineChars="200" w:firstLine="640"/>
        <w:rPr>
          <w:rFonts w:ascii="Times New Roman" w:eastAsia="仿宋_GB2312" w:hAnsi="Times New Roman" w:cs="Times New Roman"/>
          <w:sz w:val="32"/>
          <w:szCs w:val="32"/>
        </w:rPr>
      </w:pPr>
      <w:proofErr w:type="gramStart"/>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”条轴带</w:t>
      </w:r>
      <w:proofErr w:type="gramEnd"/>
      <w:r>
        <w:rPr>
          <w:rFonts w:ascii="Times New Roman" w:eastAsia="仿宋_GB2312" w:hAnsi="Times New Roman" w:cs="Times New Roman" w:hint="eastAsia"/>
          <w:sz w:val="32"/>
          <w:szCs w:val="32"/>
        </w:rPr>
        <w:t>：丹东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凤城</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通</w:t>
      </w:r>
      <w:proofErr w:type="gramStart"/>
      <w:r>
        <w:rPr>
          <w:rFonts w:ascii="Times New Roman" w:eastAsia="仿宋_GB2312" w:hAnsi="Times New Roman" w:cs="Times New Roman" w:hint="eastAsia"/>
          <w:sz w:val="32"/>
          <w:szCs w:val="32"/>
        </w:rPr>
        <w:t>远堡沈</w:t>
      </w:r>
      <w:proofErr w:type="gramEnd"/>
      <w:r>
        <w:rPr>
          <w:rFonts w:ascii="Times New Roman" w:eastAsia="仿宋_GB2312" w:hAnsi="Times New Roman" w:cs="Times New Roman" w:hint="eastAsia"/>
          <w:sz w:val="32"/>
          <w:szCs w:val="32"/>
        </w:rPr>
        <w:t>丹经济走廊发展轴，打造丹东连接沈阳都市圈的纽带；丹东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宽甸</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青山沟（支轴经灌水）东北东部绿色经济带发展轴，打造东北东部绿色发</w:t>
      </w:r>
      <w:r>
        <w:rPr>
          <w:rFonts w:ascii="Times New Roman" w:eastAsia="仿宋_GB2312" w:hAnsi="Times New Roman" w:cs="Times New Roman" w:hint="eastAsia"/>
          <w:sz w:val="32"/>
          <w:szCs w:val="32"/>
        </w:rPr>
        <w:lastRenderedPageBreak/>
        <w:t>展的龙头牵动带；丹东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长</w:t>
      </w:r>
      <w:proofErr w:type="gramStart"/>
      <w:r>
        <w:rPr>
          <w:rFonts w:ascii="Times New Roman" w:eastAsia="仿宋_GB2312" w:hAnsi="Times New Roman" w:cs="Times New Roman" w:hint="eastAsia"/>
          <w:sz w:val="32"/>
          <w:szCs w:val="32"/>
        </w:rPr>
        <w:t>甸</w:t>
      </w:r>
      <w:proofErr w:type="gramEnd"/>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振江沿鸭绿江发展轴，打造守边固边特色发展带。以发展绿色经济为主，重点承载绿色有机食品产业、绿色低碳工业、大健康产业等产业。</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大开发区包括经济技术开发区、高新技术产业开发区、农产品加工示范集聚区、产业园区等具有开发区性质的各类园区，以绿色化、高端化、智能化为方向，推动产业集群发展。重点打造金牌园区和特色园中园，打造东港海洋经济、合作区现代电子信息科技、丹东港临港产业、江湾工业园智慧园区等专业化园区。</w:t>
      </w:r>
      <w:proofErr w:type="gramStart"/>
      <w:r>
        <w:rPr>
          <w:rFonts w:ascii="Times New Roman" w:eastAsia="仿宋_GB2312" w:hAnsi="Times New Roman" w:cs="Times New Roman" w:hint="eastAsia"/>
          <w:sz w:val="32"/>
          <w:szCs w:val="32"/>
        </w:rPr>
        <w:t>加大前阳精细</w:t>
      </w:r>
      <w:proofErr w:type="gramEnd"/>
      <w:r>
        <w:rPr>
          <w:rFonts w:ascii="Times New Roman" w:eastAsia="仿宋_GB2312" w:hAnsi="Times New Roman" w:cs="Times New Roman" w:hint="eastAsia"/>
          <w:sz w:val="32"/>
          <w:szCs w:val="32"/>
        </w:rPr>
        <w:t>化工园区建设力度，实现丹东市化工产业高质量发展。</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982" w:name="_Toc12774"/>
      <w:bookmarkStart w:id="983" w:name="_Toc2989"/>
      <w:bookmarkStart w:id="984" w:name="_Toc28258"/>
      <w:bookmarkStart w:id="985" w:name="_Toc2934"/>
      <w:bookmarkStart w:id="986" w:name="_Toc16920"/>
      <w:bookmarkStart w:id="987" w:name="_Toc550"/>
      <w:bookmarkStart w:id="988" w:name="_Toc29863"/>
      <w:bookmarkStart w:id="989" w:name="_Toc16395"/>
      <w:bookmarkStart w:id="990" w:name="_Toc15018"/>
      <w:bookmarkStart w:id="991" w:name="_Toc5317"/>
      <w:bookmarkStart w:id="992" w:name="_Toc9750"/>
      <w:r>
        <w:rPr>
          <w:rFonts w:ascii="Times New Roman" w:eastAsia="楷体_GB2312" w:hAnsi="Times New Roman" w:cs="Times New Roman" w:hint="eastAsia"/>
          <w:sz w:val="32"/>
          <w:szCs w:val="32"/>
        </w:rPr>
        <w:t>保障科技创新和开放平台空间需求</w:t>
      </w:r>
      <w:bookmarkEnd w:id="982"/>
      <w:bookmarkEnd w:id="983"/>
      <w:bookmarkEnd w:id="984"/>
      <w:bookmarkEnd w:id="985"/>
      <w:bookmarkEnd w:id="986"/>
      <w:bookmarkEnd w:id="987"/>
      <w:bookmarkEnd w:id="988"/>
      <w:bookmarkEnd w:id="98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高水平规划建设大学科技园、科技企业孵化器和各种</w:t>
      </w:r>
      <w:proofErr w:type="gramStart"/>
      <w:r>
        <w:rPr>
          <w:rFonts w:ascii="Times New Roman" w:eastAsia="仿宋_GB2312" w:hAnsi="Times New Roman" w:cs="Times New Roman" w:hint="eastAsia"/>
          <w:sz w:val="32"/>
          <w:szCs w:val="32"/>
        </w:rPr>
        <w:t>形式众创空间</w:t>
      </w:r>
      <w:proofErr w:type="gramEnd"/>
      <w:r>
        <w:rPr>
          <w:rFonts w:ascii="Times New Roman" w:eastAsia="仿宋_GB2312" w:hAnsi="Times New Roman" w:cs="Times New Roman" w:hint="eastAsia"/>
          <w:sz w:val="32"/>
          <w:szCs w:val="32"/>
        </w:rPr>
        <w:t>，保障曙光集团、恒星化工、东方测控、丝绸研究院等国家级企业技术中心和省级重点实验室、专业技术创新中心、企业技术中心等建设空间。充分保障国防科工项目的用地用海需求。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保障综合保税区等高水平开放平台的建设需求，推进边境经济合作区</w:t>
      </w:r>
      <w:proofErr w:type="gramStart"/>
      <w:r>
        <w:rPr>
          <w:rFonts w:ascii="Times New Roman" w:eastAsia="仿宋_GB2312" w:hAnsi="Times New Roman" w:cs="Times New Roman" w:hint="eastAsia"/>
          <w:sz w:val="32"/>
          <w:szCs w:val="32"/>
        </w:rPr>
        <w:t>提质扩能</w:t>
      </w:r>
      <w:proofErr w:type="gramEnd"/>
      <w:r>
        <w:rPr>
          <w:rFonts w:ascii="Times New Roman" w:eastAsia="仿宋_GB2312" w:hAnsi="Times New Roman" w:cs="Times New Roman" w:hint="eastAsia"/>
          <w:sz w:val="32"/>
          <w:szCs w:val="32"/>
        </w:rPr>
        <w:t>，争取设立宽甸跨境经济合作区。优化口岸布局，推进交通基础设施互联互通，保障边民互市贸易发展空间。引导丹东港及港区临港空间集聚发展，保障国际物流、临港加工制造、进出口加工及贸易的用地用海需求。</w:t>
      </w:r>
    </w:p>
    <w:p w:rsidR="00A765C5" w:rsidRDefault="00702EF7" w:rsidP="006B5E5D">
      <w:pPr>
        <w:pStyle w:val="2"/>
        <w:numPr>
          <w:ilvl w:val="0"/>
          <w:numId w:val="9"/>
        </w:numPr>
        <w:snapToGrid w:val="0"/>
        <w:spacing w:beforeLines="50" w:before="156" w:afterLines="50" w:after="156" w:line="600" w:lineRule="exact"/>
        <w:jc w:val="center"/>
        <w:rPr>
          <w:rFonts w:ascii="Times New Roman" w:eastAsia="黑体" w:hAnsi="Times New Roman"/>
          <w:b w:val="0"/>
          <w:bCs w:val="0"/>
          <w:sz w:val="32"/>
        </w:rPr>
      </w:pPr>
      <w:bookmarkStart w:id="993" w:name="_Toc5149"/>
      <w:bookmarkStart w:id="994" w:name="_Toc17737"/>
      <w:bookmarkStart w:id="995" w:name="_Toc985"/>
      <w:bookmarkStart w:id="996" w:name="_Toc26466"/>
      <w:bookmarkStart w:id="997" w:name="_Toc18809"/>
      <w:bookmarkStart w:id="998" w:name="_Toc18955"/>
      <w:bookmarkStart w:id="999" w:name="_Toc32143"/>
      <w:r>
        <w:rPr>
          <w:rFonts w:ascii="Times New Roman" w:eastAsia="黑体" w:hAnsi="Times New Roman" w:hint="eastAsia"/>
          <w:b w:val="0"/>
          <w:bCs w:val="0"/>
          <w:sz w:val="32"/>
        </w:rPr>
        <w:t>提升城乡公服</w:t>
      </w:r>
      <w:bookmarkEnd w:id="990"/>
      <w:bookmarkEnd w:id="991"/>
      <w:bookmarkEnd w:id="992"/>
      <w:r>
        <w:rPr>
          <w:rFonts w:ascii="Times New Roman" w:eastAsia="黑体" w:hAnsi="Times New Roman" w:hint="eastAsia"/>
          <w:b w:val="0"/>
          <w:bCs w:val="0"/>
          <w:sz w:val="32"/>
        </w:rPr>
        <w:t>能力</w:t>
      </w:r>
      <w:bookmarkEnd w:id="993"/>
      <w:bookmarkEnd w:id="994"/>
      <w:bookmarkEnd w:id="995"/>
      <w:bookmarkEnd w:id="996"/>
      <w:bookmarkEnd w:id="997"/>
      <w:bookmarkEnd w:id="998"/>
      <w:bookmarkEnd w:id="999"/>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00" w:name="_Toc1887"/>
      <w:bookmarkStart w:id="1001" w:name="_Toc31252"/>
      <w:bookmarkStart w:id="1002" w:name="_Toc19472"/>
      <w:bookmarkStart w:id="1003" w:name="_Toc30903"/>
      <w:bookmarkStart w:id="1004" w:name="_Toc29554"/>
      <w:bookmarkStart w:id="1005" w:name="_Toc13174"/>
      <w:bookmarkStart w:id="1006" w:name="_Toc12034"/>
      <w:bookmarkStart w:id="1007" w:name="_Toc5635"/>
      <w:r>
        <w:rPr>
          <w:rFonts w:ascii="Times New Roman" w:eastAsia="楷体_GB2312" w:hAnsi="Times New Roman" w:cs="Times New Roman" w:hint="eastAsia"/>
          <w:sz w:val="32"/>
          <w:szCs w:val="32"/>
        </w:rPr>
        <w:lastRenderedPageBreak/>
        <w:t>构建公共服务体系</w:t>
      </w:r>
      <w:bookmarkEnd w:id="1000"/>
      <w:bookmarkEnd w:id="1001"/>
      <w:bookmarkEnd w:id="1002"/>
      <w:bookmarkEnd w:id="1003"/>
      <w:bookmarkEnd w:id="1004"/>
      <w:bookmarkEnd w:id="1005"/>
      <w:bookmarkEnd w:id="1006"/>
      <w:bookmarkEnd w:id="100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按照《城市居住区规划设计标准》《社区生活圈规划技术指南》，城镇构建“</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分钟、</w:t>
      </w:r>
      <w:r>
        <w:rPr>
          <w:rFonts w:ascii="Times New Roman" w:eastAsia="仿宋_GB2312" w:hAnsi="Times New Roman" w:cs="Times New Roman" w:hint="eastAsia"/>
          <w:sz w:val="32"/>
          <w:szCs w:val="32"/>
        </w:rPr>
        <w:t>5-10</w:t>
      </w:r>
      <w:r>
        <w:rPr>
          <w:rFonts w:ascii="Times New Roman" w:eastAsia="仿宋_GB2312" w:hAnsi="Times New Roman" w:cs="Times New Roman" w:hint="eastAsia"/>
          <w:sz w:val="32"/>
          <w:szCs w:val="32"/>
        </w:rPr>
        <w:t>分钟”两个城镇社区生活圈层级，乡村构建“乡集镇</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组”两个乡村社区生活圈层级，分别配置各类公共服务设施，满足就近使用需求，注重服务要素的错位配置和共享使用。</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08" w:name="_Toc27818"/>
      <w:bookmarkStart w:id="1009" w:name="_Toc24802"/>
      <w:bookmarkStart w:id="1010" w:name="_Toc6928"/>
      <w:bookmarkStart w:id="1011" w:name="_Toc31736"/>
      <w:bookmarkStart w:id="1012" w:name="_Toc3510"/>
      <w:bookmarkStart w:id="1013" w:name="_Toc27282"/>
      <w:bookmarkStart w:id="1014" w:name="_Toc6357"/>
      <w:bookmarkStart w:id="1015" w:name="_Toc23095"/>
      <w:r>
        <w:rPr>
          <w:rFonts w:ascii="Times New Roman" w:eastAsia="楷体_GB2312" w:hAnsi="Times New Roman" w:cs="Times New Roman" w:hint="eastAsia"/>
          <w:sz w:val="32"/>
          <w:szCs w:val="32"/>
        </w:rPr>
        <w:t>加强城乡社区服务体系建设</w:t>
      </w:r>
      <w:bookmarkEnd w:id="1008"/>
      <w:bookmarkEnd w:id="1009"/>
      <w:bookmarkEnd w:id="1010"/>
      <w:bookmarkEnd w:id="1011"/>
      <w:bookmarkEnd w:id="1012"/>
      <w:bookmarkEnd w:id="1013"/>
      <w:bookmarkEnd w:id="1014"/>
      <w:bookmarkEnd w:id="101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先发展社区就业、养老、托育服务，大力发展社区服务业，增加服务供给，补齐服务短板。按照老年人、未成年人、残疾人优先的原则，优化社区综合服务设施空间布局，促进各类服务设施功能差异互补、内容衔接配套。推动社区卫生服务中心与社区养老服务机构毗邻建设，推进社区设施</w:t>
      </w:r>
      <w:proofErr w:type="gramStart"/>
      <w:r>
        <w:rPr>
          <w:rFonts w:ascii="Times New Roman" w:eastAsia="仿宋_GB2312" w:hAnsi="Times New Roman" w:cs="Times New Roman" w:hint="eastAsia"/>
          <w:sz w:val="32"/>
          <w:szCs w:val="32"/>
        </w:rPr>
        <w:t>适</w:t>
      </w:r>
      <w:proofErr w:type="gramEnd"/>
      <w:r>
        <w:rPr>
          <w:rFonts w:ascii="Times New Roman" w:eastAsia="仿宋_GB2312" w:hAnsi="Times New Roman" w:cs="Times New Roman" w:hint="eastAsia"/>
          <w:sz w:val="32"/>
          <w:szCs w:val="32"/>
        </w:rPr>
        <w:t>老化、适儿化改造和无障碍建设。</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16" w:name="_Toc6814"/>
      <w:bookmarkStart w:id="1017" w:name="_Toc7883"/>
      <w:bookmarkStart w:id="1018" w:name="_Toc7308"/>
      <w:bookmarkStart w:id="1019" w:name="_Toc9242"/>
      <w:bookmarkStart w:id="1020" w:name="_Toc4279"/>
      <w:bookmarkStart w:id="1021" w:name="_Toc29573"/>
      <w:bookmarkStart w:id="1022" w:name="_Toc31239"/>
      <w:bookmarkStart w:id="1023" w:name="_Toc2108"/>
      <w:r>
        <w:rPr>
          <w:rFonts w:ascii="Times New Roman" w:eastAsia="楷体_GB2312" w:hAnsi="Times New Roman" w:cs="Times New Roman" w:hint="eastAsia"/>
          <w:sz w:val="32"/>
          <w:szCs w:val="32"/>
        </w:rPr>
        <w:t>完善公共服务设施布局</w:t>
      </w:r>
      <w:bookmarkEnd w:id="1016"/>
      <w:bookmarkEnd w:id="1017"/>
      <w:bookmarkEnd w:id="1018"/>
      <w:bookmarkEnd w:id="1019"/>
      <w:bookmarkEnd w:id="1020"/>
      <w:bookmarkEnd w:id="1021"/>
      <w:bookmarkEnd w:id="1022"/>
      <w:bookmarkEnd w:id="102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按照教育、医疗卫生、文化、体育、社会福利等设施类型完善各层级城乡公共服务设施配置，提高基本公共服务设施均等化程度。公共服务设施配建标准应符合《城市公共服务设施规划标准》的相关要求。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教育设施。按辽宁省中高职学校办学条件达标计划预留足够教育用地。市级中心重点布局高等教育设施，可结合优势产业新增高等职业学校和高等专科学校。市级中心、县级</w:t>
      </w:r>
      <w:r>
        <w:rPr>
          <w:rFonts w:ascii="Times New Roman" w:eastAsia="仿宋_GB2312" w:hAnsi="Times New Roman" w:cs="Times New Roman" w:hint="eastAsia"/>
          <w:sz w:val="32"/>
          <w:szCs w:val="32"/>
        </w:rPr>
        <w:lastRenderedPageBreak/>
        <w:t>中心重点布局中等职业学校，作为产业发展和转型的重要依托。建设覆盖城乡的基础教育体系，市级和县级中心加强普通高中设施建设，建制镇（乡）以九年一贯制学校建设为重点。新建城镇居民住宅小区，应按居住区规划设计配建幼儿园，农村地区加强幼儿园设施的普及和建设。建制镇（乡）、行政村（农村新型社区）设置农业技术培训站。</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医疗卫生设施。市级中心重点建设综合医院、中医院、专科医院、妇幼医院和疾病控制中心等设施。县级中心配置二级以上综合医院、中医院、妇幼保健院（站）、精神病院和疾病控制中心，服务于本县及周边乡镇。建制镇（乡）配置卫生院和卫生防疫站，服务于本镇及周边乡镇。行政村（农村新型社区）配置卫生室。</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文化设施。市级中心重点建设市级以上文化设施，包括影剧院、图书馆、博物馆、广播电站、展览馆和文化馆等。县级中心重点建设影剧院、市县图书馆、群众艺术馆和文化馆等设施。建制镇（乡）设立图书馆、文化活动中心和老年活动中心等。行政村（农村新型社区）设立文化室。</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体育设施。市级中心建设综合体育中心，能够承办国家级运动会及国际单项赛事，主要承办市级体育赛事。县级中心建设综合体育中心，能够承办省级运动会单项赛事，主要承办县（市）级体育赛事。建制镇（乡）设置一处体育场馆设施和满足居民日常体育锻炼的健身设施。行政村（农村新型社区）配备健身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社区体育设施。</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社会福利设施。市级中心配置老年活动中心、专业性养老护理中心、综合性儿童福利机构、精神防治类福利院等，建立完善的老年人、残疾人、孤儿等弱势群体的社会保障体系和服务体系。县级中心配置至少一所综合性社会福利中心，建立完善的社会保障体系和服务体系。建制镇（乡）设置包含养老服务、老年福利中心和儿童福利机构功能的综合养老服务和儿童福利机构，向周边镇村提供辐射服务。</w:t>
      </w:r>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殡葬设施。全面深化殡葬基础设施、集中办丧场所建设，提升安葬（放）设施生态环境和设施服务水平，基本形成布局合理、设施完善、功能齐全、服务便捷的殡葬服务体系。</w:t>
      </w:r>
    </w:p>
    <w:p w:rsidR="00A765C5" w:rsidRDefault="00702EF7" w:rsidP="006B5E5D">
      <w:pPr>
        <w:pStyle w:val="2"/>
        <w:numPr>
          <w:ilvl w:val="0"/>
          <w:numId w:val="9"/>
        </w:numPr>
        <w:snapToGrid w:val="0"/>
        <w:spacing w:beforeLines="50" w:before="156" w:afterLines="50" w:after="156" w:line="600" w:lineRule="exact"/>
        <w:jc w:val="center"/>
        <w:rPr>
          <w:rFonts w:ascii="Times New Roman" w:eastAsia="黑体" w:hAnsi="Times New Roman"/>
          <w:b w:val="0"/>
          <w:bCs w:val="0"/>
          <w:sz w:val="32"/>
        </w:rPr>
      </w:pPr>
      <w:bookmarkStart w:id="1024" w:name="_Toc11504"/>
      <w:bookmarkStart w:id="1025" w:name="_Toc6157"/>
      <w:bookmarkStart w:id="1026" w:name="_Toc10047"/>
      <w:bookmarkStart w:id="1027" w:name="_Toc11292"/>
      <w:bookmarkStart w:id="1028" w:name="_Toc5293"/>
      <w:bookmarkStart w:id="1029" w:name="_Toc4497"/>
      <w:bookmarkStart w:id="1030" w:name="_Toc23606"/>
      <w:bookmarkStart w:id="1031" w:name="_Toc11848"/>
      <w:bookmarkStart w:id="1032" w:name="_Toc2048"/>
      <w:bookmarkStart w:id="1033" w:name="_Toc13247"/>
      <w:r>
        <w:rPr>
          <w:rFonts w:ascii="Times New Roman" w:eastAsia="黑体" w:hAnsi="Times New Roman" w:hint="eastAsia"/>
          <w:b w:val="0"/>
          <w:bCs w:val="0"/>
          <w:sz w:val="32"/>
        </w:rPr>
        <w:t>促进建设用地节约集约</w:t>
      </w:r>
      <w:bookmarkEnd w:id="1024"/>
      <w:bookmarkEnd w:id="1025"/>
      <w:bookmarkEnd w:id="1026"/>
      <w:bookmarkEnd w:id="1027"/>
      <w:bookmarkEnd w:id="1028"/>
      <w:bookmarkEnd w:id="1029"/>
      <w:bookmarkEnd w:id="1030"/>
      <w:bookmarkEnd w:id="1031"/>
      <w:bookmarkEnd w:id="1032"/>
      <w:bookmarkEnd w:id="1033"/>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34" w:name="_Toc4364"/>
      <w:bookmarkStart w:id="1035" w:name="_Toc9861"/>
      <w:bookmarkStart w:id="1036" w:name="_Toc22495"/>
      <w:bookmarkStart w:id="1037" w:name="_Toc29379"/>
      <w:bookmarkStart w:id="1038" w:name="_Toc29234"/>
      <w:bookmarkStart w:id="1039" w:name="_Toc30712"/>
      <w:bookmarkStart w:id="1040" w:name="_Toc30255"/>
      <w:bookmarkStart w:id="1041" w:name="_Toc28827"/>
      <w:r>
        <w:rPr>
          <w:rFonts w:ascii="Times New Roman" w:eastAsia="楷体_GB2312" w:hAnsi="Times New Roman" w:cs="Times New Roman" w:hint="eastAsia"/>
          <w:sz w:val="32"/>
          <w:szCs w:val="32"/>
        </w:rPr>
        <w:t>合理控制城镇建设用地增量</w:t>
      </w:r>
      <w:bookmarkEnd w:id="1034"/>
      <w:bookmarkEnd w:id="1035"/>
      <w:bookmarkEnd w:id="1036"/>
      <w:bookmarkEnd w:id="1037"/>
      <w:bookmarkEnd w:id="1038"/>
      <w:bookmarkEnd w:id="1039"/>
      <w:bookmarkEnd w:id="1040"/>
      <w:bookmarkEnd w:id="1041"/>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进一步完善重大项目和民生工程用地保障机制。优化城镇建设用地内部结构，优先保障资源节约、循环利用产业用地，限制产能过剩行业和高耗能、高污染项目用地，切实保障绿色循环低碳经济发展用地。优化产业用地供应方式，推行工业用地“标准地”出让，增加混合产业用地供给。有序引导地上地下空间综合开发，推行土地复合利用、立体开发，促进城镇建设用地节约集约利用。</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42" w:name="_Toc23809"/>
      <w:bookmarkStart w:id="1043" w:name="_Toc8975"/>
      <w:bookmarkStart w:id="1044" w:name="_Toc17329"/>
      <w:bookmarkStart w:id="1045" w:name="_Toc4187"/>
      <w:bookmarkStart w:id="1046" w:name="_Toc30127"/>
      <w:bookmarkStart w:id="1047" w:name="_Toc14641"/>
      <w:bookmarkStart w:id="1048" w:name="_Toc18939"/>
      <w:bookmarkStart w:id="1049" w:name="_Toc1393"/>
      <w:r>
        <w:rPr>
          <w:rFonts w:ascii="Times New Roman" w:eastAsia="楷体_GB2312" w:hAnsi="Times New Roman" w:cs="Times New Roman" w:hint="eastAsia"/>
          <w:sz w:val="32"/>
          <w:szCs w:val="32"/>
        </w:rPr>
        <w:t>积极盘活城镇存量建设用地</w:t>
      </w:r>
      <w:bookmarkEnd w:id="1042"/>
      <w:bookmarkEnd w:id="1043"/>
      <w:bookmarkEnd w:id="1044"/>
      <w:bookmarkEnd w:id="1045"/>
      <w:bookmarkEnd w:id="1046"/>
      <w:bookmarkEnd w:id="1047"/>
      <w:bookmarkEnd w:id="1048"/>
      <w:bookmarkEnd w:id="1049"/>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结合国土空间规划“一张图”实施监督信息系统实现存</w:t>
      </w:r>
      <w:r>
        <w:rPr>
          <w:rFonts w:ascii="Times New Roman" w:eastAsia="仿宋_GB2312" w:hAnsi="Times New Roman" w:cs="Times New Roman" w:hint="eastAsia"/>
          <w:sz w:val="32"/>
          <w:szCs w:val="32"/>
        </w:rPr>
        <w:lastRenderedPageBreak/>
        <w:t>量用地、低效用地再开发建设。重点用好批而未征、征而未供、供而未用土地和闲置土地资产，加大存量建设用地挖潜力度，逐步提高存量建设用地供给比重。严格落实批而未供和闲置土地消化处置任务考核，依法依规收回批而未供闲置土地资源并重新开发利用。持续加大旧城区、旧厂房、旧村庄改造力度，提升城市功能和低效土地利用效率。</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50" w:name="_Toc14047"/>
      <w:bookmarkStart w:id="1051" w:name="_Toc30983"/>
      <w:bookmarkStart w:id="1052" w:name="_Toc3119"/>
      <w:bookmarkStart w:id="1053" w:name="_Toc13961"/>
      <w:bookmarkStart w:id="1054" w:name="_Toc31992"/>
      <w:bookmarkStart w:id="1055" w:name="_Toc4031"/>
      <w:bookmarkStart w:id="1056" w:name="_Toc1594"/>
      <w:bookmarkStart w:id="1057" w:name="_Toc2617"/>
      <w:r>
        <w:rPr>
          <w:rFonts w:ascii="Times New Roman" w:eastAsia="楷体_GB2312" w:hAnsi="Times New Roman" w:cs="Times New Roman" w:hint="eastAsia"/>
          <w:sz w:val="32"/>
          <w:szCs w:val="32"/>
        </w:rPr>
        <w:t>有序增加城镇建设用地流量</w:t>
      </w:r>
      <w:bookmarkEnd w:id="1050"/>
      <w:bookmarkEnd w:id="1051"/>
      <w:bookmarkEnd w:id="1052"/>
      <w:bookmarkEnd w:id="1053"/>
      <w:bookmarkEnd w:id="1054"/>
      <w:bookmarkEnd w:id="1055"/>
      <w:bookmarkEnd w:id="1056"/>
      <w:bookmarkEnd w:id="1057"/>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以国土空间规划为引领统筹推进全域国土综合整治，在确保城乡建设用地总量稳定、新增建设用地指标逐步减少的前提下，逐步增加城乡建设用地增减挂钩、工矿废弃地复垦利用和城镇低效用地再开发等流量指标，统筹保障建设用地供给。在安排新增建设用地时同步减少原有存量建设用地，既保持建设用地总量不变又增加建设用地流量，保障经济社会发展用地，提高土地节约集约利用水平。建设用地流量供应，主要用于促进存量建设用地的布局优化，推动建设用地在城镇和农村内部、城乡之间合理流动，合理保障城乡建设用地，促进土地利用和经济发展方式转变。</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58" w:name="_Toc24268"/>
      <w:bookmarkStart w:id="1059" w:name="_Toc30238"/>
      <w:bookmarkStart w:id="1060" w:name="_Toc4451"/>
      <w:bookmarkStart w:id="1061" w:name="_Toc16164"/>
      <w:bookmarkStart w:id="1062" w:name="_Toc4673"/>
      <w:bookmarkStart w:id="1063" w:name="_Toc14950"/>
      <w:bookmarkStart w:id="1064" w:name="_Toc20985"/>
      <w:bookmarkStart w:id="1065" w:name="_Toc27183"/>
      <w:r>
        <w:rPr>
          <w:rFonts w:ascii="Times New Roman" w:eastAsia="楷体_GB2312" w:hAnsi="Times New Roman" w:cs="Times New Roman" w:hint="eastAsia"/>
          <w:sz w:val="32"/>
          <w:szCs w:val="32"/>
        </w:rPr>
        <w:t>积极开展城镇土地综合整治</w:t>
      </w:r>
      <w:bookmarkEnd w:id="1058"/>
      <w:bookmarkEnd w:id="1059"/>
      <w:bookmarkEnd w:id="1060"/>
      <w:bookmarkEnd w:id="1061"/>
      <w:bookmarkEnd w:id="1062"/>
      <w:bookmarkEnd w:id="1063"/>
      <w:bookmarkEnd w:id="1064"/>
      <w:bookmarkEnd w:id="106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积极开展旧城区低效用地更新改造，着力治理基础设施落后、城中村和与城镇功能定位不符的旧城区。</w:t>
      </w:r>
    </w:p>
    <w:p w:rsidR="00A765C5" w:rsidRDefault="00A765C5">
      <w:pPr>
        <w:snapToGrid w:val="0"/>
        <w:spacing w:line="600" w:lineRule="exact"/>
        <w:ind w:firstLineChars="300" w:firstLine="960"/>
        <w:rPr>
          <w:rFonts w:ascii="Times New Roman" w:eastAsia="仿宋_GB2312" w:hAnsi="Times New Roman" w:cs="Times New Roman"/>
          <w:sz w:val="32"/>
          <w:szCs w:val="32"/>
        </w:rPr>
      </w:pPr>
    </w:p>
    <w:p w:rsidR="00A765C5" w:rsidRDefault="00A765C5">
      <w:pPr>
        <w:snapToGrid w:val="0"/>
        <w:spacing w:line="600" w:lineRule="exact"/>
        <w:ind w:firstLineChars="300" w:firstLine="960"/>
        <w:rPr>
          <w:rFonts w:ascii="Times New Roman" w:eastAsia="仿宋_GB2312" w:hAnsi="Times New Roman" w:cs="Times New Roman"/>
          <w:sz w:val="32"/>
          <w:szCs w:val="32"/>
        </w:rPr>
      </w:pPr>
    </w:p>
    <w:p w:rsidR="00A765C5" w:rsidRDefault="00702EF7">
      <w:pPr>
        <w:snapToGrid w:val="0"/>
        <w:spacing w:line="600" w:lineRule="exact"/>
        <w:rPr>
          <w:rFonts w:ascii="Times New Roman" w:eastAsia="仿宋_GB2312" w:hAnsi="Times New Roman" w:cs="Times New Roman"/>
          <w:sz w:val="32"/>
          <w:szCs w:val="32"/>
        </w:rPr>
      </w:pPr>
      <w:r>
        <w:rPr>
          <w:rFonts w:ascii="Times New Roman" w:eastAsia="仿宋_GB2312" w:hAnsi="Times New Roman" w:cs="Times New Roman" w:hint="eastAsia"/>
          <w:noProof/>
          <w:sz w:val="32"/>
          <w:szCs w:val="32"/>
        </w:rPr>
        <w:lastRenderedPageBreak/>
        <w:drawing>
          <wp:anchor distT="0" distB="0" distL="114300" distR="114300" simplePos="0" relativeHeight="251662336" behindDoc="0" locked="0" layoutInCell="1" allowOverlap="1">
            <wp:simplePos x="0" y="0"/>
            <wp:positionH relativeFrom="column">
              <wp:posOffset>-13335</wp:posOffset>
            </wp:positionH>
            <wp:positionV relativeFrom="paragraph">
              <wp:posOffset>120015</wp:posOffset>
            </wp:positionV>
            <wp:extent cx="5232400" cy="7319645"/>
            <wp:effectExtent l="0" t="0" r="6350" b="5080"/>
            <wp:wrapTopAndBottom/>
            <wp:docPr id="12" name="图片 12" descr="210600丹东市16市域城镇空间布局结构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10600丹东市16市域城镇空间布局结构规划图"/>
                    <pic:cNvPicPr>
                      <a:picLocks noChangeAspect="1"/>
                    </pic:cNvPicPr>
                  </pic:nvPicPr>
                  <pic:blipFill>
                    <a:blip r:embed="rId15"/>
                    <a:stretch>
                      <a:fillRect/>
                    </a:stretch>
                  </pic:blipFill>
                  <pic:spPr>
                    <a:xfrm>
                      <a:off x="0" y="0"/>
                      <a:ext cx="5232400" cy="7319645"/>
                    </a:xfrm>
                    <a:prstGeom prst="rect">
                      <a:avLst/>
                    </a:prstGeom>
                  </pic:spPr>
                </pic:pic>
              </a:graphicData>
            </a:graphic>
          </wp:anchor>
        </w:drawing>
      </w:r>
    </w:p>
    <w:p w:rsidR="00A765C5" w:rsidRDefault="00A765C5">
      <w:pPr>
        <w:pStyle w:val="0"/>
        <w:ind w:firstLineChars="300"/>
        <w:jc w:val="both"/>
        <w:sectPr w:rsidR="00A765C5">
          <w:pgSz w:w="11850" w:h="16783"/>
          <w:pgMar w:top="1440" w:right="1800" w:bottom="1440" w:left="1800" w:header="720" w:footer="720" w:gutter="0"/>
          <w:cols w:space="720"/>
          <w:docGrid w:type="lines" w:linePitch="312"/>
        </w:sectPr>
      </w:pP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1066" w:name="_Toc6337"/>
      <w:bookmarkStart w:id="1067" w:name="_Toc29540"/>
      <w:bookmarkStart w:id="1068" w:name="_Toc16572"/>
      <w:bookmarkStart w:id="1069" w:name="_Toc23722"/>
      <w:bookmarkStart w:id="1070" w:name="_Toc30458"/>
      <w:bookmarkStart w:id="1071" w:name="_Toc10459"/>
      <w:bookmarkStart w:id="1072" w:name="_Toc30461"/>
      <w:bookmarkStart w:id="1073" w:name="_Toc20864"/>
      <w:bookmarkStart w:id="1074" w:name="_Toc11779"/>
      <w:bookmarkStart w:id="1075" w:name="_Toc23371"/>
      <w:bookmarkStart w:id="1076" w:name="_Toc6308"/>
      <w:r>
        <w:rPr>
          <w:rFonts w:ascii="Times New Roman" w:eastAsia="方正小标宋_GBK" w:hAnsi="Times New Roman" w:cs="Times New Roman" w:hint="eastAsia"/>
          <w:b w:val="0"/>
          <w:sz w:val="36"/>
          <w:szCs w:val="36"/>
        </w:rPr>
        <w:lastRenderedPageBreak/>
        <w:t>优化中心城区</w:t>
      </w:r>
      <w:bookmarkEnd w:id="1066"/>
      <w:bookmarkEnd w:id="1067"/>
      <w:bookmarkEnd w:id="1068"/>
      <w:r>
        <w:rPr>
          <w:rFonts w:ascii="Times New Roman" w:eastAsia="方正小标宋_GBK" w:hAnsi="Times New Roman" w:cs="Times New Roman" w:hint="eastAsia"/>
          <w:b w:val="0"/>
          <w:sz w:val="36"/>
          <w:szCs w:val="36"/>
        </w:rPr>
        <w:t>功能，改善城市生活品质</w:t>
      </w:r>
      <w:bookmarkEnd w:id="1069"/>
      <w:bookmarkEnd w:id="1070"/>
      <w:bookmarkEnd w:id="1071"/>
      <w:bookmarkEnd w:id="1072"/>
      <w:bookmarkEnd w:id="1073"/>
      <w:bookmarkEnd w:id="1074"/>
      <w:bookmarkEnd w:id="1075"/>
      <w:bookmarkEnd w:id="1076"/>
      <w:r>
        <w:rPr>
          <w:rFonts w:ascii="Times New Roman" w:eastAsia="方正小标宋_GBK" w:hAnsi="Times New Roman" w:cs="Times New Roman"/>
          <w:b w:val="0"/>
          <w:sz w:val="36"/>
          <w:szCs w:val="36"/>
        </w:rPr>
        <w:tab/>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077" w:name="_Toc5624"/>
      <w:bookmarkStart w:id="1078" w:name="_Toc27370"/>
      <w:bookmarkStart w:id="1079" w:name="_Toc19280"/>
      <w:bookmarkStart w:id="1080" w:name="_Toc19695"/>
      <w:bookmarkStart w:id="1081" w:name="_Toc30403"/>
      <w:bookmarkStart w:id="1082" w:name="_Toc21753"/>
      <w:bookmarkStart w:id="1083" w:name="_Toc7780"/>
      <w:bookmarkStart w:id="1084" w:name="_Toc21095"/>
      <w:bookmarkStart w:id="1085" w:name="_Toc8984"/>
      <w:bookmarkStart w:id="1086" w:name="_Toc7339"/>
      <w:r>
        <w:rPr>
          <w:rFonts w:ascii="Times New Roman" w:eastAsia="黑体" w:hAnsi="Times New Roman" w:hint="eastAsia"/>
          <w:b w:val="0"/>
          <w:bCs w:val="0"/>
          <w:sz w:val="32"/>
        </w:rPr>
        <w:t>优化空间结构</w:t>
      </w:r>
      <w:bookmarkEnd w:id="1077"/>
      <w:bookmarkEnd w:id="1078"/>
      <w:bookmarkEnd w:id="1079"/>
      <w:r>
        <w:rPr>
          <w:rFonts w:ascii="Times New Roman" w:eastAsia="黑体" w:hAnsi="Times New Roman" w:hint="eastAsia"/>
          <w:b w:val="0"/>
          <w:bCs w:val="0"/>
          <w:sz w:val="32"/>
        </w:rPr>
        <w:t>和用地布局</w:t>
      </w:r>
      <w:bookmarkEnd w:id="1080"/>
      <w:bookmarkEnd w:id="1081"/>
      <w:bookmarkEnd w:id="1082"/>
      <w:bookmarkEnd w:id="1083"/>
      <w:bookmarkEnd w:id="1084"/>
      <w:bookmarkEnd w:id="1085"/>
      <w:bookmarkEnd w:id="1086"/>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87" w:name="_Toc2020"/>
      <w:bookmarkStart w:id="1088" w:name="_Toc23061"/>
      <w:bookmarkStart w:id="1089" w:name="_Toc16593"/>
      <w:bookmarkStart w:id="1090" w:name="_Toc10511"/>
      <w:bookmarkStart w:id="1091" w:name="_Toc3450"/>
      <w:bookmarkStart w:id="1092" w:name="_Toc14171"/>
      <w:bookmarkStart w:id="1093" w:name="_Toc3487"/>
      <w:bookmarkStart w:id="1094" w:name="_Toc10090"/>
      <w:r>
        <w:rPr>
          <w:rFonts w:ascii="Times New Roman" w:eastAsia="楷体_GB2312" w:hAnsi="Times New Roman" w:cs="Times New Roman" w:hint="eastAsia"/>
          <w:sz w:val="32"/>
          <w:szCs w:val="32"/>
        </w:rPr>
        <w:t>中心城区拓展方向</w:t>
      </w:r>
      <w:bookmarkEnd w:id="1087"/>
      <w:bookmarkEnd w:id="1088"/>
      <w:bookmarkEnd w:id="1089"/>
      <w:bookmarkEnd w:id="1090"/>
      <w:bookmarkEnd w:id="1091"/>
      <w:bookmarkEnd w:id="1092"/>
      <w:bookmarkEnd w:id="1093"/>
      <w:bookmarkEnd w:id="1094"/>
    </w:p>
    <w:p w:rsidR="00A765C5" w:rsidRDefault="00702EF7">
      <w:pPr>
        <w:snapToGrid w:val="0"/>
        <w:spacing w:line="600" w:lineRule="exact"/>
        <w:ind w:firstLineChars="200" w:firstLine="640"/>
        <w:rPr>
          <w:rFonts w:ascii="Times New Roman" w:hAnsi="Times New Roman" w:cs="Times New Roman"/>
        </w:rPr>
      </w:pPr>
      <w:r>
        <w:rPr>
          <w:rFonts w:ascii="Times New Roman" w:eastAsia="仿宋_GB2312" w:hAnsi="Times New Roman" w:cs="Times New Roman" w:hint="eastAsia"/>
          <w:sz w:val="32"/>
          <w:szCs w:val="32"/>
        </w:rPr>
        <w:t>中心城区以向南发展为主，适当向西和向北发展。其中，以向南的新区作为城市主要拓展方向，形成综合城区；老城西侧浅山地区加强土地整理、棚户区改造搬迁，控制城市建设对山体的侵占；金山组团相对集中布局；适当向北部拓展，与九连城镇形成联动发展；同时保护城区西侧和北侧山体生态环境，加强地质灾害防治和生态环境建设。</w:t>
      </w:r>
      <w:r>
        <w:rPr>
          <w:rFonts w:ascii="Times New Roman" w:eastAsia="仿宋_GB2312" w:hAnsi="Times New Roman" w:cs="Times New Roman" w:hint="eastAsia"/>
          <w:sz w:val="32"/>
          <w:szCs w:val="32"/>
        </w:rPr>
        <w:t xml:space="preserve"> </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095" w:name="_Toc15863"/>
      <w:bookmarkStart w:id="1096" w:name="_Toc22069"/>
      <w:bookmarkStart w:id="1097" w:name="_Toc29874"/>
      <w:bookmarkStart w:id="1098" w:name="_Toc25833"/>
      <w:bookmarkStart w:id="1099" w:name="_Toc14671"/>
      <w:bookmarkStart w:id="1100" w:name="_Toc23130"/>
      <w:bookmarkStart w:id="1101" w:name="_Toc18021"/>
      <w:bookmarkStart w:id="1102" w:name="_Toc5390"/>
      <w:r>
        <w:rPr>
          <w:rFonts w:ascii="Times New Roman" w:eastAsia="楷体_GB2312" w:hAnsi="Times New Roman" w:cs="Times New Roman" w:hint="eastAsia"/>
          <w:sz w:val="32"/>
          <w:szCs w:val="32"/>
        </w:rPr>
        <w:t>中心城区功能布局</w:t>
      </w:r>
      <w:bookmarkEnd w:id="1095"/>
      <w:bookmarkEnd w:id="1096"/>
      <w:bookmarkEnd w:id="1097"/>
      <w:bookmarkEnd w:id="1098"/>
      <w:bookmarkEnd w:id="1099"/>
      <w:bookmarkEnd w:id="1100"/>
      <w:bookmarkEnd w:id="1101"/>
      <w:bookmarkEnd w:id="110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规划形成组团式布局结构，包括金山组团、老城组团、新区组团、新老城区连接带四大组团。</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化提升老城组团：以商务商业、旅游服务、文化展示、教育科研和综合居住为主要功能，以降低人口密度、降低建筑密度、增加人均公共绿地面积、增加城市公共空间为目标，全面、系统、有序推进老城区改造。</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提高新区组团吸聚能力：着力建设涵盖各种经济区特定功能和城市功能的综合型、现代化的城市新区。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加快新老城区连接带建设：形成商贸旅游、边境贸易、家居建材、现代物流等产业集聚发展格局，建设成为城市新兴商贸区、“中央公园”和“城市会客厅”。</w:t>
      </w:r>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lastRenderedPageBreak/>
        <w:t>逐步做强金山组团：以</w:t>
      </w:r>
      <w:proofErr w:type="gramStart"/>
      <w:r>
        <w:rPr>
          <w:rFonts w:ascii="Times New Roman" w:eastAsia="仿宋_GB2312" w:hAnsi="Times New Roman" w:cs="Times New Roman" w:hint="eastAsia"/>
          <w:sz w:val="32"/>
          <w:szCs w:val="32"/>
        </w:rPr>
        <w:t>做优做</w:t>
      </w:r>
      <w:proofErr w:type="gramEnd"/>
      <w:r>
        <w:rPr>
          <w:rFonts w:ascii="Times New Roman" w:eastAsia="仿宋_GB2312" w:hAnsi="Times New Roman" w:cs="Times New Roman" w:hint="eastAsia"/>
          <w:sz w:val="32"/>
          <w:szCs w:val="32"/>
        </w:rPr>
        <w:t>强金山经济开发区为主线，打造宜居金山、活力金山、枢纽金山。</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03" w:name="_Toc21775"/>
      <w:bookmarkStart w:id="1104" w:name="_Toc4379"/>
      <w:bookmarkStart w:id="1105" w:name="_Toc29466"/>
      <w:bookmarkStart w:id="1106" w:name="_Toc30592"/>
      <w:bookmarkStart w:id="1107" w:name="_Toc9890"/>
      <w:bookmarkStart w:id="1108" w:name="_Toc6657"/>
      <w:bookmarkStart w:id="1109" w:name="_Toc16997"/>
      <w:bookmarkStart w:id="1110" w:name="_Toc26158"/>
      <w:r>
        <w:rPr>
          <w:rFonts w:ascii="Times New Roman" w:eastAsia="楷体_GB2312" w:hAnsi="Times New Roman" w:cs="Times New Roman" w:hint="eastAsia"/>
          <w:sz w:val="32"/>
          <w:szCs w:val="32"/>
        </w:rPr>
        <w:t>中心城区内、城镇开发边界外用地管控</w:t>
      </w:r>
      <w:bookmarkEnd w:id="1103"/>
      <w:bookmarkEnd w:id="1104"/>
      <w:bookmarkEnd w:id="1105"/>
      <w:bookmarkEnd w:id="1106"/>
      <w:bookmarkEnd w:id="1107"/>
      <w:bookmarkEnd w:id="1108"/>
      <w:bookmarkEnd w:id="1109"/>
      <w:bookmarkEnd w:id="111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级总体规划对中心城区内、城镇开发边界外村庄建设用地起总量控制作用。应进一步编制乡镇总体规划和村庄规划，明确村庄建设边界和具体用地性质，作为核发建设用地规划许可证、建设工程规划许可证、乡村建设规划许可证等城乡建设项目规划许可以及实施城乡开发建设、整治更新、保护修复活动的法定依据。</w:t>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111" w:name="_Toc30430"/>
      <w:bookmarkStart w:id="1112" w:name="_Toc7136"/>
      <w:bookmarkStart w:id="1113" w:name="_Toc6899"/>
      <w:bookmarkStart w:id="1114" w:name="_Toc3753"/>
      <w:bookmarkStart w:id="1115" w:name="_Toc22400"/>
      <w:bookmarkStart w:id="1116" w:name="_Toc12038"/>
      <w:bookmarkStart w:id="1117" w:name="_Toc24776"/>
      <w:bookmarkStart w:id="1118" w:name="_Toc24320"/>
      <w:bookmarkStart w:id="1119" w:name="_Toc28947"/>
      <w:bookmarkStart w:id="1120" w:name="_Toc19983"/>
      <w:r>
        <w:rPr>
          <w:rFonts w:ascii="Times New Roman" w:eastAsia="黑体" w:hAnsi="Times New Roman" w:hint="eastAsia"/>
          <w:b w:val="0"/>
          <w:bCs w:val="0"/>
          <w:sz w:val="32"/>
        </w:rPr>
        <w:t>保障住房多元化供给</w:t>
      </w:r>
      <w:bookmarkEnd w:id="1111"/>
      <w:bookmarkEnd w:id="1112"/>
      <w:bookmarkEnd w:id="1113"/>
      <w:bookmarkEnd w:id="1114"/>
      <w:bookmarkEnd w:id="1115"/>
      <w:bookmarkEnd w:id="1116"/>
      <w:bookmarkEnd w:id="1117"/>
      <w:bookmarkEnd w:id="1118"/>
      <w:bookmarkEnd w:id="1119"/>
      <w:bookmarkEnd w:id="1120"/>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21" w:name="_Toc13195"/>
      <w:bookmarkStart w:id="1122" w:name="_Toc12789"/>
      <w:bookmarkStart w:id="1123" w:name="_Toc7471"/>
      <w:bookmarkStart w:id="1124" w:name="_Toc25888"/>
      <w:bookmarkStart w:id="1125" w:name="_Toc16059"/>
      <w:bookmarkStart w:id="1126" w:name="_Toc1313"/>
      <w:bookmarkStart w:id="1127" w:name="_Toc20994"/>
      <w:bookmarkStart w:id="1128" w:name="_Toc19258"/>
      <w:r>
        <w:rPr>
          <w:rFonts w:ascii="Times New Roman" w:eastAsia="楷体_GB2312" w:hAnsi="Times New Roman" w:cs="Times New Roman" w:hint="eastAsia"/>
          <w:sz w:val="32"/>
          <w:szCs w:val="32"/>
        </w:rPr>
        <w:t>住房供给目标</w:t>
      </w:r>
      <w:bookmarkEnd w:id="1121"/>
      <w:bookmarkEnd w:id="1122"/>
      <w:bookmarkEnd w:id="1123"/>
      <w:bookmarkEnd w:id="1124"/>
      <w:bookmarkEnd w:id="1125"/>
      <w:bookmarkEnd w:id="1126"/>
      <w:bookmarkEnd w:id="1127"/>
      <w:bookmarkEnd w:id="1128"/>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强化保障性住房建设和管理，逐步建立以公租房、保障性租赁住房和共有产权住房为主体的住房保障体系。</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29" w:name="_Toc10218"/>
      <w:bookmarkStart w:id="1130" w:name="_Toc7366"/>
      <w:bookmarkStart w:id="1131" w:name="_Toc5512"/>
      <w:bookmarkStart w:id="1132" w:name="_Toc29454"/>
      <w:bookmarkStart w:id="1133" w:name="_Toc25222"/>
      <w:bookmarkStart w:id="1134" w:name="_Toc23858"/>
      <w:bookmarkStart w:id="1135" w:name="_Toc22537"/>
      <w:bookmarkStart w:id="1136" w:name="_Toc20955"/>
      <w:r>
        <w:rPr>
          <w:rFonts w:ascii="Times New Roman" w:eastAsia="楷体_GB2312" w:hAnsi="Times New Roman" w:cs="Times New Roman" w:hint="eastAsia"/>
          <w:sz w:val="32"/>
          <w:szCs w:val="32"/>
        </w:rPr>
        <w:t>住房发展布局指引</w:t>
      </w:r>
      <w:bookmarkEnd w:id="1129"/>
      <w:bookmarkEnd w:id="1130"/>
      <w:bookmarkEnd w:id="1131"/>
      <w:bookmarkEnd w:id="1132"/>
      <w:bookmarkEnd w:id="1133"/>
      <w:bookmarkEnd w:id="1134"/>
      <w:bookmarkEnd w:id="1135"/>
      <w:bookmarkEnd w:id="113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立足住房保障基本需求，引导住房合理消费，构建“政府为主提供基本保障、市场为主满足多层次需求”的住房供应体系。规划形成老城组团和金山组团适度开发、新区组团加大完善力度、沿江沿海和沿交通线区域优先开发的住房发展总体布局。</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老城组团实施城市更新行动，加强社区治理，改造老旧小区，改善</w:t>
      </w:r>
      <w:proofErr w:type="gramStart"/>
      <w:r>
        <w:rPr>
          <w:rFonts w:ascii="Times New Roman" w:eastAsia="仿宋_GB2312" w:hAnsi="Times New Roman" w:cs="Times New Roman" w:hint="eastAsia"/>
          <w:sz w:val="32"/>
          <w:szCs w:val="32"/>
        </w:rPr>
        <w:t>老旧住</w:t>
      </w:r>
      <w:proofErr w:type="gramEnd"/>
      <w:r>
        <w:rPr>
          <w:rFonts w:ascii="Times New Roman" w:eastAsia="仿宋_GB2312" w:hAnsi="Times New Roman" w:cs="Times New Roman" w:hint="eastAsia"/>
          <w:sz w:val="32"/>
          <w:szCs w:val="32"/>
        </w:rPr>
        <w:t>区公共服务设施、区域居住环境、建筑安</w:t>
      </w:r>
      <w:r>
        <w:rPr>
          <w:rFonts w:ascii="Times New Roman" w:eastAsia="仿宋_GB2312" w:hAnsi="Times New Roman" w:cs="Times New Roman" w:hint="eastAsia"/>
          <w:sz w:val="32"/>
          <w:szCs w:val="32"/>
        </w:rPr>
        <w:lastRenderedPageBreak/>
        <w:t>全性能、房屋使用功能，推进城市基础设施提档升级，提高城市安全运行能力，促进老城区功能优化，实现城市住区有机更新、老旧住房持续使用；新区组团提高住区公共交通和公共服务配套水平，增加就业岗位，提升地区吸引力，适度控制用地供应时序和节奏，保障新区规划大型居住社区具有公共交通和公共服务设施的有效支撑；金山组团创新职住对接机制，提高就业人员就近居住配置，实</w:t>
      </w:r>
      <w:proofErr w:type="gramStart"/>
      <w:r>
        <w:rPr>
          <w:rFonts w:ascii="Times New Roman" w:eastAsia="仿宋_GB2312" w:hAnsi="Times New Roman" w:cs="Times New Roman" w:hint="eastAsia"/>
          <w:sz w:val="32"/>
          <w:szCs w:val="32"/>
        </w:rPr>
        <w:t>现职住协调</w:t>
      </w:r>
      <w:proofErr w:type="gramEnd"/>
      <w:r>
        <w:rPr>
          <w:rFonts w:ascii="Times New Roman" w:eastAsia="仿宋_GB2312" w:hAnsi="Times New Roman" w:cs="Times New Roman" w:hint="eastAsia"/>
          <w:sz w:val="32"/>
          <w:szCs w:val="32"/>
        </w:rPr>
        <w:t>发展，同时建设温泉养生和休闲养老产业相关高品质住房；新老城区连接</w:t>
      </w:r>
      <w:proofErr w:type="gramStart"/>
      <w:r>
        <w:rPr>
          <w:rFonts w:ascii="Times New Roman" w:eastAsia="仿宋_GB2312" w:hAnsi="Times New Roman" w:cs="Times New Roman" w:hint="eastAsia"/>
          <w:sz w:val="32"/>
          <w:szCs w:val="32"/>
        </w:rPr>
        <w:t>带保障</w:t>
      </w:r>
      <w:proofErr w:type="gramEnd"/>
      <w:r>
        <w:rPr>
          <w:rFonts w:ascii="Times New Roman" w:eastAsia="仿宋_GB2312" w:hAnsi="Times New Roman" w:cs="Times New Roman" w:hint="eastAsia"/>
          <w:sz w:val="32"/>
          <w:szCs w:val="32"/>
        </w:rPr>
        <w:t>中高端生活服务设施配套，建设高品质住房。</w:t>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137" w:name="_Toc30956"/>
      <w:bookmarkStart w:id="1138" w:name="_Toc20860"/>
      <w:bookmarkStart w:id="1139" w:name="_Toc10919"/>
      <w:bookmarkStart w:id="1140" w:name="_Toc4083"/>
      <w:bookmarkStart w:id="1141" w:name="_Toc23139"/>
      <w:bookmarkStart w:id="1142" w:name="_Toc31691"/>
      <w:bookmarkStart w:id="1143" w:name="_Toc30354"/>
      <w:bookmarkStart w:id="1144" w:name="_Toc13170"/>
      <w:bookmarkStart w:id="1145" w:name="_Toc2847"/>
      <w:bookmarkStart w:id="1146" w:name="_Toc21586"/>
      <w:proofErr w:type="gramStart"/>
      <w:r>
        <w:rPr>
          <w:rFonts w:ascii="Times New Roman" w:eastAsia="黑体" w:hAnsi="Times New Roman" w:hint="eastAsia"/>
          <w:b w:val="0"/>
          <w:bCs w:val="0"/>
          <w:sz w:val="32"/>
        </w:rPr>
        <w:t>完善公服设施</w:t>
      </w:r>
      <w:bookmarkEnd w:id="1137"/>
      <w:bookmarkEnd w:id="1138"/>
      <w:bookmarkEnd w:id="1139"/>
      <w:proofErr w:type="gramEnd"/>
      <w:r>
        <w:rPr>
          <w:rFonts w:ascii="Times New Roman" w:eastAsia="黑体" w:hAnsi="Times New Roman" w:hint="eastAsia"/>
          <w:b w:val="0"/>
          <w:bCs w:val="0"/>
          <w:sz w:val="32"/>
        </w:rPr>
        <w:t>布局</w:t>
      </w:r>
      <w:bookmarkEnd w:id="1140"/>
      <w:bookmarkEnd w:id="1141"/>
      <w:bookmarkEnd w:id="1142"/>
      <w:bookmarkEnd w:id="1143"/>
      <w:bookmarkEnd w:id="1144"/>
      <w:bookmarkEnd w:id="1145"/>
      <w:bookmarkEnd w:id="1146"/>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47" w:name="_Toc25883"/>
      <w:bookmarkStart w:id="1148" w:name="_Toc9538"/>
      <w:bookmarkStart w:id="1149" w:name="_Toc5129"/>
      <w:bookmarkStart w:id="1150" w:name="_Toc29850"/>
      <w:bookmarkStart w:id="1151" w:name="_Toc12944"/>
      <w:bookmarkStart w:id="1152" w:name="_Toc28291"/>
      <w:bookmarkStart w:id="1153" w:name="_Toc18393"/>
      <w:bookmarkStart w:id="1154" w:name="_Toc7066"/>
      <w:r>
        <w:rPr>
          <w:rFonts w:ascii="Times New Roman" w:eastAsia="楷体_GB2312" w:hAnsi="Times New Roman" w:cs="Times New Roman" w:hint="eastAsia"/>
          <w:sz w:val="32"/>
          <w:szCs w:val="32"/>
        </w:rPr>
        <w:t>建立公共服务体系</w:t>
      </w:r>
      <w:bookmarkEnd w:id="1147"/>
      <w:bookmarkEnd w:id="1148"/>
      <w:bookmarkEnd w:id="1149"/>
      <w:bookmarkEnd w:id="1150"/>
      <w:bookmarkEnd w:id="1151"/>
      <w:bookmarkEnd w:id="1152"/>
      <w:bookmarkEnd w:id="1153"/>
      <w:bookmarkEnd w:id="1154"/>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建立“市级</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区级</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片区级</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社区级”四级公共服务体系，重点加强社区级公共服务设施建设，形成可识别的组团中心和社区中心，为居民提供一站式综合服务。</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55" w:name="_Toc16588"/>
      <w:bookmarkStart w:id="1156" w:name="_Toc25120"/>
      <w:bookmarkStart w:id="1157" w:name="_Toc20393"/>
      <w:bookmarkStart w:id="1158" w:name="_Toc3353"/>
      <w:bookmarkStart w:id="1159" w:name="_Toc29252"/>
      <w:bookmarkStart w:id="1160" w:name="_Toc14534"/>
      <w:bookmarkStart w:id="1161" w:name="_Toc9849"/>
      <w:bookmarkStart w:id="1162" w:name="_Toc8357"/>
      <w:bookmarkStart w:id="1163" w:name="_Toc13271"/>
      <w:bookmarkStart w:id="1164" w:name="_Toc21842"/>
      <w:r>
        <w:rPr>
          <w:rFonts w:ascii="Times New Roman" w:eastAsia="楷体_GB2312" w:hAnsi="Times New Roman" w:cs="Times New Roman" w:hint="eastAsia"/>
          <w:sz w:val="32"/>
          <w:szCs w:val="32"/>
        </w:rPr>
        <w:t>构建社区生活圈</w:t>
      </w:r>
      <w:bookmarkEnd w:id="1155"/>
      <w:bookmarkEnd w:id="1156"/>
      <w:bookmarkEnd w:id="1157"/>
      <w:bookmarkEnd w:id="1158"/>
      <w:bookmarkEnd w:id="1159"/>
      <w:bookmarkEnd w:id="1160"/>
      <w:bookmarkEnd w:id="1161"/>
      <w:bookmarkEnd w:id="1162"/>
      <w:bookmarkEnd w:id="1163"/>
      <w:bookmarkEnd w:id="116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分钟、</w:t>
      </w:r>
      <w:r>
        <w:rPr>
          <w:rFonts w:ascii="Times New Roman" w:eastAsia="仿宋_GB2312" w:hAnsi="Times New Roman" w:cs="Times New Roman" w:hint="eastAsia"/>
          <w:sz w:val="32"/>
          <w:szCs w:val="32"/>
        </w:rPr>
        <w:t>5-10</w:t>
      </w:r>
      <w:r>
        <w:rPr>
          <w:rFonts w:ascii="Times New Roman" w:eastAsia="仿宋_GB2312" w:hAnsi="Times New Roman" w:cs="Times New Roman" w:hint="eastAsia"/>
          <w:sz w:val="32"/>
          <w:szCs w:val="32"/>
        </w:rPr>
        <w:t>分钟”社区生活服务体系，完善就近服务，营造环境友好、设施充沛、活力多元的社区生活圈。“</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分钟”生活圈集中配置社区综合服务中心、卫生服务中心、养老服务设施、文化活动中心、多功能运动场地、中小学以及商超等服务设施。“</w:t>
      </w:r>
      <w:r>
        <w:rPr>
          <w:rFonts w:ascii="Times New Roman" w:eastAsia="仿宋_GB2312" w:hAnsi="Times New Roman" w:cs="Times New Roman" w:hint="eastAsia"/>
          <w:sz w:val="32"/>
          <w:szCs w:val="32"/>
        </w:rPr>
        <w:t>5-10</w:t>
      </w:r>
      <w:r>
        <w:rPr>
          <w:rFonts w:ascii="Times New Roman" w:eastAsia="仿宋_GB2312" w:hAnsi="Times New Roman" w:cs="Times New Roman" w:hint="eastAsia"/>
          <w:sz w:val="32"/>
          <w:szCs w:val="32"/>
        </w:rPr>
        <w:t>分钟”生活圈配置城镇居民日常使用的基本服务要素，包括幼儿园、文化活动站、</w:t>
      </w:r>
      <w:r>
        <w:rPr>
          <w:rFonts w:ascii="Times New Roman" w:eastAsia="仿宋_GB2312" w:hAnsi="Times New Roman" w:cs="Times New Roman" w:hint="eastAsia"/>
          <w:sz w:val="32"/>
          <w:szCs w:val="32"/>
        </w:rPr>
        <w:lastRenderedPageBreak/>
        <w:t>室外综合健身场地、老年日间照料中心、社区服务站以及社区商业等。</w:t>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165" w:name="_Toc28330"/>
      <w:bookmarkStart w:id="1166" w:name="_Toc11870"/>
      <w:bookmarkStart w:id="1167" w:name="_Toc26945"/>
      <w:bookmarkStart w:id="1168" w:name="_Toc18610"/>
      <w:bookmarkStart w:id="1169" w:name="_Toc28247"/>
      <w:bookmarkStart w:id="1170" w:name="_Toc21910"/>
      <w:bookmarkStart w:id="1171" w:name="_Toc14752"/>
      <w:bookmarkStart w:id="1172" w:name="_Toc4011"/>
      <w:bookmarkStart w:id="1173" w:name="_Toc20786"/>
      <w:bookmarkStart w:id="1174" w:name="_Toc2805"/>
      <w:r>
        <w:rPr>
          <w:rFonts w:ascii="Times New Roman" w:eastAsia="黑体" w:hAnsi="Times New Roman" w:hint="eastAsia"/>
          <w:b w:val="0"/>
          <w:bCs w:val="0"/>
          <w:sz w:val="32"/>
        </w:rPr>
        <w:t>优化蓝绿空间</w:t>
      </w:r>
      <w:bookmarkEnd w:id="1165"/>
      <w:bookmarkEnd w:id="1166"/>
      <w:bookmarkEnd w:id="1167"/>
      <w:r>
        <w:rPr>
          <w:rFonts w:ascii="Times New Roman" w:eastAsia="黑体" w:hAnsi="Times New Roman" w:hint="eastAsia"/>
          <w:b w:val="0"/>
          <w:bCs w:val="0"/>
          <w:sz w:val="32"/>
        </w:rPr>
        <w:t>组织</w:t>
      </w:r>
      <w:bookmarkEnd w:id="1168"/>
      <w:bookmarkEnd w:id="1169"/>
      <w:bookmarkEnd w:id="1170"/>
      <w:bookmarkEnd w:id="1171"/>
      <w:bookmarkEnd w:id="1172"/>
      <w:bookmarkEnd w:id="1173"/>
      <w:bookmarkEnd w:id="1174"/>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完善由郊野公园、城市综合公园、社区公园以及游园组成的城市绿地体系。</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75" w:name="_Toc14368"/>
      <w:bookmarkStart w:id="1176" w:name="_Toc14529"/>
      <w:bookmarkStart w:id="1177" w:name="_Toc20033"/>
      <w:bookmarkStart w:id="1178" w:name="_Toc13086"/>
      <w:bookmarkStart w:id="1179" w:name="_Toc12429"/>
      <w:bookmarkStart w:id="1180" w:name="_Toc28159"/>
      <w:bookmarkStart w:id="1181" w:name="_Toc6830"/>
      <w:bookmarkStart w:id="1182" w:name="_Toc13006"/>
      <w:bookmarkStart w:id="1183" w:name="_Toc1658"/>
      <w:bookmarkStart w:id="1184" w:name="_Toc22074"/>
      <w:r>
        <w:rPr>
          <w:rFonts w:ascii="Times New Roman" w:eastAsia="楷体_GB2312" w:hAnsi="Times New Roman" w:cs="Times New Roman" w:hint="eastAsia"/>
          <w:sz w:val="32"/>
          <w:szCs w:val="32"/>
        </w:rPr>
        <w:t>公园绿地布局</w:t>
      </w:r>
      <w:bookmarkEnd w:id="1175"/>
      <w:bookmarkEnd w:id="1176"/>
      <w:bookmarkEnd w:id="1177"/>
      <w:bookmarkEnd w:id="1178"/>
      <w:bookmarkEnd w:id="1179"/>
      <w:bookmarkEnd w:id="1180"/>
      <w:bookmarkEnd w:id="1181"/>
      <w:bookmarkEnd w:id="118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综合公园：规划建设</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处市级综合公园。现状</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处，包括珍珠公园、鸭绿江公园、锦江山公园、元宝山公园、帽盔山公园、青年湖公园、菊花山公园；改建</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处，国门湾公园；新建</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处，包括安民山公园、世纪公园、</w:t>
      </w:r>
      <w:proofErr w:type="gramStart"/>
      <w:r>
        <w:rPr>
          <w:rFonts w:ascii="Times New Roman" w:eastAsia="仿宋_GB2312" w:hAnsi="Times New Roman" w:cs="Times New Roman" w:hint="eastAsia"/>
          <w:sz w:val="32"/>
          <w:szCs w:val="32"/>
        </w:rPr>
        <w:t>玉带河</w:t>
      </w:r>
      <w:proofErr w:type="gramEnd"/>
      <w:r>
        <w:rPr>
          <w:rFonts w:ascii="Times New Roman" w:eastAsia="仿宋_GB2312" w:hAnsi="Times New Roman" w:cs="Times New Roman" w:hint="eastAsia"/>
          <w:sz w:val="32"/>
          <w:szCs w:val="32"/>
        </w:rPr>
        <w:t>公园。综合公园建设应保障其生物多样性，并配置相应的服务设施。</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区公园和游园：社区公园和游园是为居住区配套建设的公园绿地，重点在居住区周边，通过空地、闲置地绿化，老旧社区、工业用地更新等方式加强社区公园建设。老城区内鼓励小微绿地发展，游园规模可适当减小。</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85" w:name="_Toc12464"/>
      <w:bookmarkStart w:id="1186" w:name="_Toc23897"/>
      <w:bookmarkStart w:id="1187" w:name="_Toc5758"/>
      <w:bookmarkStart w:id="1188" w:name="_Toc2984"/>
      <w:bookmarkStart w:id="1189" w:name="_Toc30178"/>
      <w:bookmarkStart w:id="1190" w:name="_Toc12173"/>
      <w:bookmarkStart w:id="1191" w:name="_Toc5655"/>
      <w:bookmarkStart w:id="1192" w:name="_Toc23091"/>
      <w:r>
        <w:rPr>
          <w:rFonts w:ascii="Times New Roman" w:eastAsia="楷体_GB2312" w:hAnsi="Times New Roman" w:cs="Times New Roman" w:hint="eastAsia"/>
          <w:sz w:val="32"/>
          <w:szCs w:val="32"/>
        </w:rPr>
        <w:t>广场用地布局</w:t>
      </w:r>
      <w:bookmarkEnd w:id="1185"/>
      <w:bookmarkEnd w:id="1186"/>
      <w:bookmarkEnd w:id="1187"/>
      <w:bookmarkEnd w:id="1188"/>
      <w:bookmarkEnd w:id="1189"/>
      <w:bookmarkEnd w:id="1190"/>
      <w:bookmarkEnd w:id="1191"/>
      <w:bookmarkEnd w:id="119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规划</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处城市级公共广场，以及其他街头广场。城市级公共广场包括红旗广场（火车站）、菊花山公园广场、杜鹃广场、太阳世纪广场、文化广场等。</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193" w:name="_Toc12649"/>
      <w:bookmarkStart w:id="1194" w:name="_Toc25234"/>
      <w:bookmarkStart w:id="1195" w:name="_Toc13655"/>
      <w:bookmarkStart w:id="1196" w:name="_Toc4149"/>
      <w:bookmarkStart w:id="1197" w:name="_Toc6628"/>
      <w:bookmarkStart w:id="1198" w:name="_Toc6580"/>
      <w:bookmarkStart w:id="1199" w:name="_Toc4642"/>
      <w:bookmarkStart w:id="1200" w:name="_Toc1602"/>
      <w:r>
        <w:rPr>
          <w:rFonts w:ascii="Times New Roman" w:eastAsia="楷体_GB2312" w:hAnsi="Times New Roman" w:cs="Times New Roman" w:hint="eastAsia"/>
          <w:sz w:val="32"/>
          <w:szCs w:val="32"/>
        </w:rPr>
        <w:t>防护绿地布局</w:t>
      </w:r>
      <w:bookmarkEnd w:id="1193"/>
      <w:bookmarkEnd w:id="1194"/>
      <w:bookmarkEnd w:id="1195"/>
      <w:bookmarkEnd w:id="1196"/>
      <w:bookmarkEnd w:id="1197"/>
      <w:bookmarkEnd w:id="1198"/>
      <w:bookmarkEnd w:id="1199"/>
      <w:bookmarkEnd w:id="120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现状两侧无防护绿带的主干路，可借助周边建筑物改扩</w:t>
      </w:r>
      <w:r>
        <w:rPr>
          <w:rFonts w:ascii="Times New Roman" w:eastAsia="仿宋_GB2312" w:hAnsi="Times New Roman" w:cs="Times New Roman" w:hint="eastAsia"/>
          <w:sz w:val="32"/>
          <w:szCs w:val="32"/>
        </w:rPr>
        <w:lastRenderedPageBreak/>
        <w:t>建合理规划建设防护绿带。</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01" w:name="_Toc32562"/>
      <w:bookmarkStart w:id="1202" w:name="_Toc2745"/>
      <w:bookmarkStart w:id="1203" w:name="_Toc11114"/>
      <w:bookmarkStart w:id="1204" w:name="_Toc28381"/>
      <w:bookmarkStart w:id="1205" w:name="_Toc16173"/>
      <w:bookmarkStart w:id="1206" w:name="_Toc10015"/>
      <w:bookmarkStart w:id="1207" w:name="_Toc8507"/>
      <w:bookmarkStart w:id="1208" w:name="_Toc9278"/>
      <w:r>
        <w:rPr>
          <w:rFonts w:ascii="Times New Roman" w:eastAsia="楷体_GB2312" w:hAnsi="Times New Roman" w:cs="Times New Roman" w:hint="eastAsia"/>
          <w:sz w:val="32"/>
          <w:szCs w:val="32"/>
        </w:rPr>
        <w:t>生态绿地布局</w:t>
      </w:r>
      <w:bookmarkEnd w:id="1201"/>
      <w:bookmarkEnd w:id="1202"/>
      <w:bookmarkEnd w:id="1203"/>
      <w:bookmarkEnd w:id="1204"/>
      <w:bookmarkEnd w:id="1205"/>
      <w:bookmarkEnd w:id="1206"/>
      <w:bookmarkEnd w:id="1207"/>
      <w:bookmarkEnd w:id="120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生态隔离廊道：以柳林河、</w:t>
      </w:r>
      <w:proofErr w:type="gramStart"/>
      <w:r>
        <w:rPr>
          <w:rFonts w:ascii="Times New Roman" w:eastAsia="仿宋_GB2312" w:hAnsi="Times New Roman" w:cs="Times New Roman" w:hint="eastAsia"/>
          <w:sz w:val="32"/>
          <w:szCs w:val="32"/>
        </w:rPr>
        <w:t>石佛河</w:t>
      </w:r>
      <w:proofErr w:type="gramEnd"/>
      <w:r>
        <w:rPr>
          <w:rFonts w:ascii="Times New Roman" w:eastAsia="仿宋_GB2312" w:hAnsi="Times New Roman" w:cs="Times New Roman" w:hint="eastAsia"/>
          <w:sz w:val="32"/>
          <w:szCs w:val="32"/>
        </w:rPr>
        <w:t>为依托，以老城与金山组团之间自然山体作为城市组团间生态隔离廊道，防止城市建设绵延成片，增加城市通风廊道，提供自然化的生物活动空间。</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郊野公园：结合城区周边自然山体水系等，规划四道沟郊野公园、和平郊野公园、燕窝山郊野公园、</w:t>
      </w:r>
      <w:proofErr w:type="gramStart"/>
      <w:r>
        <w:rPr>
          <w:rFonts w:ascii="Times New Roman" w:eastAsia="仿宋_GB2312" w:hAnsi="Times New Roman" w:cs="Times New Roman" w:hint="eastAsia"/>
          <w:sz w:val="32"/>
          <w:szCs w:val="32"/>
        </w:rPr>
        <w:t>回手摸山郊野</w:t>
      </w:r>
      <w:proofErr w:type="gramEnd"/>
      <w:r>
        <w:rPr>
          <w:rFonts w:ascii="Times New Roman" w:eastAsia="仿宋_GB2312" w:hAnsi="Times New Roman" w:cs="Times New Roman" w:hint="eastAsia"/>
          <w:sz w:val="32"/>
          <w:szCs w:val="32"/>
        </w:rPr>
        <w:t>公园和安民山郊野公园等多处郊野公园。以保护为主、利用为辅，优化郊区农村生活、生产、生态格局，协调自然保护与游憩的双重功能。郊野公园内现有村庄在有条件的情况下，应逐步外迁。</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09" w:name="_Toc8861"/>
      <w:bookmarkStart w:id="1210" w:name="_Toc21503"/>
      <w:bookmarkStart w:id="1211" w:name="_Toc21756"/>
      <w:bookmarkStart w:id="1212" w:name="_Toc25030"/>
      <w:bookmarkStart w:id="1213" w:name="_Toc10439"/>
      <w:bookmarkStart w:id="1214" w:name="_Toc359"/>
      <w:bookmarkStart w:id="1215" w:name="_Toc4916"/>
      <w:bookmarkStart w:id="1216" w:name="_Toc25531"/>
      <w:r>
        <w:rPr>
          <w:rFonts w:ascii="Times New Roman" w:eastAsia="楷体_GB2312" w:hAnsi="Times New Roman" w:cs="Times New Roman" w:hint="eastAsia"/>
          <w:sz w:val="32"/>
          <w:szCs w:val="32"/>
        </w:rPr>
        <w:t>绿道规划</w:t>
      </w:r>
      <w:bookmarkEnd w:id="1209"/>
      <w:bookmarkEnd w:id="1210"/>
      <w:bookmarkEnd w:id="1211"/>
      <w:bookmarkEnd w:id="1212"/>
      <w:bookmarkEnd w:id="1213"/>
      <w:bookmarkEnd w:id="1214"/>
      <w:bookmarkEnd w:id="1215"/>
      <w:bookmarkEnd w:id="121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构建“两纵四横一环”的城市绿道系统，包括大沙河绿道、</w:t>
      </w:r>
      <w:proofErr w:type="gramStart"/>
      <w:r>
        <w:rPr>
          <w:rFonts w:ascii="Times New Roman" w:eastAsia="仿宋_GB2312" w:hAnsi="Times New Roman" w:cs="Times New Roman" w:hint="eastAsia"/>
          <w:sz w:val="32"/>
          <w:szCs w:val="32"/>
        </w:rPr>
        <w:t>花园河绿</w:t>
      </w:r>
      <w:proofErr w:type="gramEnd"/>
      <w:r>
        <w:rPr>
          <w:rFonts w:ascii="Times New Roman" w:eastAsia="仿宋_GB2312" w:hAnsi="Times New Roman" w:cs="Times New Roman" w:hint="eastAsia"/>
          <w:sz w:val="32"/>
          <w:szCs w:val="32"/>
        </w:rPr>
        <w:t>道、山上街绿道、滨江绿道、中央绿道、</w:t>
      </w:r>
      <w:proofErr w:type="gramStart"/>
      <w:r>
        <w:rPr>
          <w:rFonts w:ascii="Times New Roman" w:eastAsia="仿宋_GB2312" w:hAnsi="Times New Roman" w:cs="Times New Roman" w:hint="eastAsia"/>
          <w:sz w:val="32"/>
          <w:szCs w:val="32"/>
        </w:rPr>
        <w:t>玉带河绿</w:t>
      </w:r>
      <w:proofErr w:type="gramEnd"/>
      <w:r>
        <w:rPr>
          <w:rFonts w:ascii="Times New Roman" w:eastAsia="仿宋_GB2312" w:hAnsi="Times New Roman" w:cs="Times New Roman" w:hint="eastAsia"/>
          <w:sz w:val="32"/>
          <w:szCs w:val="32"/>
        </w:rPr>
        <w:t>道和环安民山绿道。主要承载市民健身、休闲等功能，设置骑行、步行、复合三类慢行道，兼顾“马拉松”等群众性体育赛事，安排适宜慢行要求的各类设施。</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17" w:name="_Toc1377"/>
      <w:bookmarkStart w:id="1218" w:name="_Toc4556"/>
      <w:bookmarkStart w:id="1219" w:name="_Toc13870"/>
      <w:bookmarkStart w:id="1220" w:name="_Toc31925"/>
      <w:bookmarkStart w:id="1221" w:name="_Toc7425"/>
      <w:bookmarkStart w:id="1222" w:name="_Toc25232"/>
      <w:bookmarkStart w:id="1223" w:name="_Toc28245"/>
      <w:bookmarkStart w:id="1224" w:name="_Toc129"/>
      <w:bookmarkEnd w:id="1183"/>
      <w:bookmarkEnd w:id="1184"/>
      <w:r>
        <w:rPr>
          <w:rFonts w:ascii="Times New Roman" w:eastAsia="楷体_GB2312" w:hAnsi="Times New Roman" w:cs="Times New Roman" w:hint="eastAsia"/>
          <w:sz w:val="32"/>
          <w:szCs w:val="32"/>
        </w:rPr>
        <w:t>河网水系建设</w:t>
      </w:r>
      <w:bookmarkEnd w:id="1217"/>
      <w:bookmarkEnd w:id="1218"/>
      <w:bookmarkEnd w:id="1219"/>
      <w:bookmarkEnd w:id="1220"/>
      <w:bookmarkEnd w:id="1221"/>
      <w:bookmarkEnd w:id="1222"/>
      <w:bookmarkEnd w:id="1223"/>
      <w:bookmarkEnd w:id="1224"/>
    </w:p>
    <w:p w:rsidR="00A765C5" w:rsidRDefault="00702EF7">
      <w:pPr>
        <w:snapToGrid w:val="0"/>
        <w:spacing w:line="600" w:lineRule="exact"/>
        <w:ind w:firstLineChars="200" w:firstLine="640"/>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hint="eastAsia"/>
          <w:sz w:val="32"/>
          <w:szCs w:val="32"/>
        </w:rPr>
        <w:t>到</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年，建成“一江十河”为主干的水绿交融空间，纳入城市蓝线严格管控，恢复河道水系功能，保证河</w:t>
      </w:r>
      <w:proofErr w:type="gramStart"/>
      <w:r>
        <w:rPr>
          <w:rFonts w:ascii="Times New Roman" w:eastAsia="仿宋_GB2312" w:hAnsi="Times New Roman" w:cs="Times New Roman" w:hint="eastAsia"/>
          <w:sz w:val="32"/>
          <w:szCs w:val="32"/>
        </w:rPr>
        <w:t>湖水面</w:t>
      </w:r>
      <w:r>
        <w:rPr>
          <w:rFonts w:ascii="Times New Roman" w:eastAsia="仿宋_GB2312" w:hAnsi="Times New Roman" w:cs="Times New Roman" w:hint="eastAsia"/>
          <w:sz w:val="32"/>
          <w:szCs w:val="32"/>
        </w:rPr>
        <w:lastRenderedPageBreak/>
        <w:t>率不</w:t>
      </w:r>
      <w:proofErr w:type="gramEnd"/>
      <w:r>
        <w:rPr>
          <w:rFonts w:ascii="Times New Roman" w:eastAsia="仿宋_GB2312" w:hAnsi="Times New Roman" w:cs="Times New Roman" w:hint="eastAsia"/>
          <w:sz w:val="32"/>
          <w:szCs w:val="32"/>
        </w:rPr>
        <w:t>减少，形成中心城区蓝色网络框架。推进大沙河、花园河、五道沟河、</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潮沟河生态补水工程建设和临岸综合开发；推进鸭绿江南段、安民河、柳林河、</w:t>
      </w:r>
      <w:proofErr w:type="gramStart"/>
      <w:r>
        <w:rPr>
          <w:rFonts w:ascii="Times New Roman" w:eastAsia="仿宋_GB2312" w:hAnsi="Times New Roman" w:cs="Times New Roman" w:hint="eastAsia"/>
          <w:sz w:val="32"/>
          <w:szCs w:val="32"/>
        </w:rPr>
        <w:t>石佛河生态</w:t>
      </w:r>
      <w:proofErr w:type="gramEnd"/>
      <w:r>
        <w:rPr>
          <w:rFonts w:ascii="Times New Roman" w:eastAsia="仿宋_GB2312" w:hAnsi="Times New Roman" w:cs="Times New Roman" w:hint="eastAsia"/>
          <w:sz w:val="32"/>
          <w:szCs w:val="32"/>
        </w:rPr>
        <w:t>廊道建设，修复生态岸线、改善环境品质；推进鸭绿江北段、蚊子沟、玉带河、四道沟河景观建设，促进生态、生活功能的有效融合。优化驳岸设计，增加公共空间，形成连续畅通的公共岸线和功能复合的滨水活动空间。</w:t>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225" w:name="_Toc25462"/>
      <w:bookmarkStart w:id="1226" w:name="_Toc15404"/>
      <w:bookmarkStart w:id="1227" w:name="_Toc28157"/>
      <w:bookmarkStart w:id="1228" w:name="_Toc18490"/>
      <w:bookmarkStart w:id="1229" w:name="_Toc18286"/>
      <w:bookmarkStart w:id="1230" w:name="_Toc24527"/>
      <w:bookmarkStart w:id="1231" w:name="_Toc8927"/>
      <w:bookmarkStart w:id="1232" w:name="_Toc4283"/>
      <w:bookmarkStart w:id="1233" w:name="_Toc23300"/>
      <w:bookmarkStart w:id="1234" w:name="_Toc26534"/>
      <w:r>
        <w:rPr>
          <w:rFonts w:ascii="Times New Roman" w:eastAsia="黑体" w:hAnsi="Times New Roman" w:hint="eastAsia"/>
          <w:b w:val="0"/>
          <w:bCs w:val="0"/>
          <w:sz w:val="32"/>
        </w:rPr>
        <w:t>强化城市“四线”管控</w:t>
      </w:r>
      <w:bookmarkEnd w:id="1225"/>
      <w:bookmarkEnd w:id="1226"/>
      <w:bookmarkEnd w:id="1227"/>
      <w:bookmarkEnd w:id="1228"/>
      <w:bookmarkEnd w:id="1229"/>
      <w:bookmarkEnd w:id="1230"/>
      <w:bookmarkEnd w:id="1231"/>
      <w:bookmarkEnd w:id="1232"/>
      <w:bookmarkEnd w:id="1233"/>
      <w:bookmarkEnd w:id="1234"/>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35" w:name="_Toc4408"/>
      <w:bookmarkStart w:id="1236" w:name="_Toc12603"/>
      <w:bookmarkStart w:id="1237" w:name="_Toc4158"/>
      <w:bookmarkStart w:id="1238" w:name="_Toc4347"/>
      <w:bookmarkStart w:id="1239" w:name="_Toc23574"/>
      <w:bookmarkStart w:id="1240" w:name="_Toc20568"/>
      <w:bookmarkStart w:id="1241" w:name="_Toc21289"/>
      <w:bookmarkStart w:id="1242" w:name="_Toc10785"/>
      <w:r>
        <w:rPr>
          <w:rFonts w:ascii="Times New Roman" w:eastAsia="楷体_GB2312" w:hAnsi="Times New Roman" w:cs="Times New Roman" w:hint="eastAsia"/>
          <w:sz w:val="32"/>
          <w:szCs w:val="32"/>
        </w:rPr>
        <w:t>城市绿线划定和管控要求</w:t>
      </w:r>
      <w:bookmarkEnd w:id="1235"/>
      <w:bookmarkEnd w:id="1236"/>
      <w:bookmarkEnd w:id="1237"/>
      <w:bookmarkEnd w:id="1238"/>
      <w:bookmarkEnd w:id="1239"/>
      <w:bookmarkEnd w:id="1240"/>
      <w:bookmarkEnd w:id="1241"/>
      <w:bookmarkEnd w:id="1242"/>
    </w:p>
    <w:p w:rsidR="00A765C5" w:rsidRDefault="00702EF7">
      <w:pPr>
        <w:snapToGrid w:val="0"/>
        <w:spacing w:line="600" w:lineRule="exact"/>
        <w:ind w:firstLineChars="200" w:firstLine="640"/>
        <w:rPr>
          <w:rFonts w:ascii="Times New Roman" w:eastAsia="仿宋_GB2312" w:hAnsi="Times New Roman" w:cs="Times New Roman"/>
          <w:sz w:val="32"/>
          <w:szCs w:val="32"/>
          <w:u w:val="single"/>
        </w:rPr>
      </w:pPr>
      <w:bookmarkStart w:id="1243" w:name="_Hlk161851271"/>
      <w:r>
        <w:rPr>
          <w:rFonts w:ascii="Times New Roman" w:eastAsia="仿宋_GB2312" w:hAnsi="Times New Roman" w:cs="Times New Roman" w:hint="eastAsia"/>
          <w:sz w:val="32"/>
          <w:szCs w:val="32"/>
        </w:rPr>
        <w:t>将对居民生活有重要影响的重要公园绿地、防护绿地和广场用地等结构性城市绿地和结构性生态绿地纳入绿线管控。绿线的具体边界、定位可在详细规划编制和实施中落实，绿线的调整应符合国家有关规定。</w:t>
      </w:r>
      <w:bookmarkEnd w:id="1243"/>
      <w:r>
        <w:rPr>
          <w:rFonts w:ascii="Times New Roman" w:eastAsia="仿宋_GB2312" w:hAnsi="Times New Roman" w:cs="Times New Roman" w:hint="eastAsia"/>
          <w:sz w:val="32"/>
          <w:szCs w:val="32"/>
        </w:rPr>
        <w:t>按照《城市绿线管理办法》等相关要求，加强绿地保护与管理。</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44" w:name="_Toc28929"/>
      <w:r>
        <w:rPr>
          <w:rFonts w:ascii="Times New Roman" w:eastAsia="楷体_GB2312" w:hAnsi="Times New Roman" w:cs="Times New Roman" w:hint="eastAsia"/>
          <w:sz w:val="32"/>
          <w:szCs w:val="32"/>
        </w:rPr>
        <w:t>城市蓝线划定和管控要求</w:t>
      </w:r>
      <w:bookmarkEnd w:id="124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将中心城区范围内五道河、</w:t>
      </w:r>
      <w:proofErr w:type="gramStart"/>
      <w:r>
        <w:rPr>
          <w:rFonts w:ascii="Times New Roman" w:eastAsia="仿宋_GB2312" w:hAnsi="Times New Roman" w:cs="Times New Roman" w:hint="eastAsia"/>
          <w:sz w:val="32"/>
          <w:szCs w:val="32"/>
        </w:rPr>
        <w:t>花园河</w:t>
      </w:r>
      <w:proofErr w:type="gramEnd"/>
      <w:r>
        <w:rPr>
          <w:rFonts w:ascii="Times New Roman" w:eastAsia="仿宋_GB2312" w:hAnsi="Times New Roman" w:cs="Times New Roman" w:hint="eastAsia"/>
          <w:sz w:val="32"/>
          <w:szCs w:val="32"/>
        </w:rPr>
        <w:t>等主干河流水系划入城市蓝线范围进行严格管控，其他河道及排洪水渠的蓝线由下层次国土空间规划具体划定。按照《城市蓝线管理办法》等相关要求，加强蓝线管理，保护河湖水系等重要水域空间不被侵占，与蓝线相关的建设行为必须符合相关规划。蓝线的具体边界可在详细规划编制和实施中落实，蓝线的调整应</w:t>
      </w:r>
      <w:r>
        <w:rPr>
          <w:rFonts w:ascii="Times New Roman" w:eastAsia="仿宋_GB2312" w:hAnsi="Times New Roman" w:cs="Times New Roman" w:hint="eastAsia"/>
          <w:sz w:val="32"/>
          <w:szCs w:val="32"/>
        </w:rPr>
        <w:lastRenderedPageBreak/>
        <w:t>符合国家有关规定。</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45" w:name="_Toc8794"/>
      <w:r>
        <w:rPr>
          <w:rFonts w:ascii="Times New Roman" w:eastAsia="楷体_GB2312" w:hAnsi="Times New Roman" w:cs="Times New Roman" w:hint="eastAsia"/>
          <w:sz w:val="32"/>
          <w:szCs w:val="32"/>
        </w:rPr>
        <w:t>城市黄线划定和管控要求</w:t>
      </w:r>
      <w:bookmarkEnd w:id="1245"/>
    </w:p>
    <w:p w:rsidR="00A765C5" w:rsidRDefault="00702EF7">
      <w:pPr>
        <w:pStyle w:val="00"/>
        <w:rPr>
          <w:rFonts w:ascii="Times New Roman" w:hAnsi="Times New Roman" w:cs="Times New Roman"/>
        </w:rPr>
      </w:pPr>
      <w:r>
        <w:rPr>
          <w:rFonts w:ascii="Times New Roman" w:hAnsi="Times New Roman" w:cs="Times New Roman" w:hint="eastAsia"/>
        </w:rPr>
        <w:t>将重要高速公路和铁路廊道用地，铁路站场、主要公路客运站、大型停车场，大型给水设施、排水设施、电力设施、通信设施、燃气设施、热力设施、环卫设施等划入城市黄线范围进行严格管控。纳入黄线管控的设施在满足服务功能的前提下，黄线的具体边界、定位可在详细规划编制和实施中落实，黄线的调整应符合国家有关规定。</w:t>
      </w:r>
    </w:p>
    <w:p w:rsidR="00A765C5" w:rsidRDefault="00702EF7">
      <w:pPr>
        <w:pStyle w:val="00"/>
        <w:rPr>
          <w:rFonts w:ascii="Times New Roman" w:hAnsi="Times New Roman" w:cs="Times New Roman"/>
        </w:rPr>
      </w:pPr>
      <w:r>
        <w:rPr>
          <w:rFonts w:ascii="Times New Roman" w:hAnsi="Times New Roman" w:cs="Times New Roman" w:hint="eastAsia"/>
        </w:rPr>
        <w:t>按照《城市黄线管理办法》</w:t>
      </w:r>
      <w:r>
        <w:rPr>
          <w:rFonts w:ascii="Times New Roman" w:hAnsi="Times New Roman" w:cs="Times New Roman" w:hint="eastAsia"/>
          <w:szCs w:val="32"/>
        </w:rPr>
        <w:t>等相关要求</w:t>
      </w:r>
      <w:r>
        <w:rPr>
          <w:rFonts w:ascii="Times New Roman" w:hAnsi="Times New Roman" w:cs="Times New Roman" w:hint="eastAsia"/>
        </w:rPr>
        <w:t>，对黄线加强管理，确保城市黄线控制范围保障设施自身运行安全，并考虑与周围其他建（构）筑物的间距要求。</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46" w:name="_Toc21693"/>
      <w:r>
        <w:rPr>
          <w:rFonts w:ascii="Times New Roman" w:eastAsia="楷体_GB2312" w:hAnsi="Times New Roman" w:cs="Times New Roman" w:hint="eastAsia"/>
          <w:sz w:val="32"/>
          <w:szCs w:val="32"/>
        </w:rPr>
        <w:t>城市紫线划定和管控要求</w:t>
      </w:r>
      <w:bookmarkEnd w:id="1246"/>
    </w:p>
    <w:p w:rsidR="00A765C5" w:rsidRDefault="00702EF7">
      <w:pPr>
        <w:snapToGrid w:val="0"/>
        <w:spacing w:line="600" w:lineRule="exact"/>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按照《城市紫线管理办法》等相关要求，加强紫线保护与管理，紫线的调整应符合国家有关规定。</w:t>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247" w:name="_Toc25303"/>
      <w:bookmarkStart w:id="1248" w:name="_Toc27430"/>
      <w:bookmarkStart w:id="1249" w:name="_Toc10248"/>
      <w:bookmarkStart w:id="1250" w:name="_Toc12866"/>
      <w:bookmarkStart w:id="1251" w:name="_Toc8925"/>
      <w:bookmarkStart w:id="1252" w:name="_Toc4260"/>
      <w:bookmarkStart w:id="1253" w:name="_Toc24827"/>
      <w:bookmarkStart w:id="1254" w:name="_Toc28368"/>
      <w:bookmarkStart w:id="1255" w:name="_Toc17087"/>
      <w:bookmarkStart w:id="1256" w:name="_Toc22286"/>
      <w:r>
        <w:rPr>
          <w:rFonts w:ascii="Times New Roman" w:eastAsia="黑体" w:hAnsi="Times New Roman" w:hint="eastAsia"/>
          <w:b w:val="0"/>
          <w:bCs w:val="0"/>
          <w:sz w:val="32"/>
        </w:rPr>
        <w:t>加强城市设计</w:t>
      </w:r>
      <w:bookmarkEnd w:id="1247"/>
      <w:bookmarkEnd w:id="1248"/>
      <w:bookmarkEnd w:id="1249"/>
      <w:r>
        <w:rPr>
          <w:rFonts w:ascii="Times New Roman" w:eastAsia="黑体" w:hAnsi="Times New Roman" w:hint="eastAsia"/>
          <w:b w:val="0"/>
          <w:bCs w:val="0"/>
          <w:sz w:val="32"/>
        </w:rPr>
        <w:t>引导</w:t>
      </w:r>
      <w:bookmarkEnd w:id="1250"/>
      <w:bookmarkEnd w:id="1251"/>
      <w:bookmarkEnd w:id="1252"/>
      <w:bookmarkEnd w:id="1253"/>
      <w:bookmarkEnd w:id="1254"/>
      <w:bookmarkEnd w:id="1255"/>
      <w:bookmarkEnd w:id="1256"/>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57" w:name="_Toc10885"/>
      <w:bookmarkStart w:id="1258" w:name="_Toc11775"/>
      <w:bookmarkStart w:id="1259" w:name="_Toc32209"/>
      <w:bookmarkStart w:id="1260" w:name="_Toc4918"/>
      <w:bookmarkStart w:id="1261" w:name="_Toc27228"/>
      <w:bookmarkStart w:id="1262" w:name="_Toc437"/>
      <w:bookmarkStart w:id="1263" w:name="_Toc11584"/>
      <w:bookmarkStart w:id="1264" w:name="_Toc22953"/>
      <w:r>
        <w:rPr>
          <w:rFonts w:ascii="Times New Roman" w:eastAsia="楷体_GB2312" w:hAnsi="Times New Roman" w:cs="Times New Roman" w:hint="eastAsia"/>
          <w:sz w:val="32"/>
          <w:szCs w:val="32"/>
        </w:rPr>
        <w:t>城市风貌总体格局</w:t>
      </w:r>
      <w:bookmarkEnd w:id="1257"/>
      <w:bookmarkEnd w:id="1258"/>
      <w:bookmarkEnd w:id="1259"/>
      <w:bookmarkEnd w:id="1260"/>
      <w:bookmarkEnd w:id="1261"/>
      <w:bookmarkEnd w:id="1262"/>
      <w:bookmarkEnd w:id="1263"/>
      <w:bookmarkEnd w:id="126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构建“依江伴海，山环城北，城随山形，水绕山城”的城市总体风格体系。形成山边、水边城市自然界面，依托锦山大街、黄海大街的都市景观带，十条纵向河流的次级生态廊道，以及</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个主要中心节点等组织而成的城市景观系统。</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65" w:name="_Toc11462"/>
      <w:bookmarkStart w:id="1266" w:name="_Toc1197"/>
      <w:bookmarkStart w:id="1267" w:name="_Toc30501"/>
      <w:bookmarkStart w:id="1268" w:name="_Toc17601"/>
      <w:bookmarkStart w:id="1269" w:name="_Toc29496"/>
      <w:bookmarkStart w:id="1270" w:name="_Toc3731"/>
      <w:r>
        <w:rPr>
          <w:rFonts w:ascii="Times New Roman" w:eastAsia="楷体_GB2312" w:hAnsi="Times New Roman" w:cs="Times New Roman" w:hint="eastAsia"/>
          <w:sz w:val="32"/>
          <w:szCs w:val="32"/>
        </w:rPr>
        <w:t>打造视线通廊</w:t>
      </w:r>
      <w:bookmarkEnd w:id="1265"/>
      <w:bookmarkEnd w:id="1266"/>
      <w:bookmarkEnd w:id="1267"/>
      <w:bookmarkEnd w:id="1268"/>
      <w:bookmarkEnd w:id="1269"/>
      <w:bookmarkEnd w:id="127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眺望体系：结合山体游憩公园，选择视野开阔处设置</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个临山望江眺望点（安民山、灯塔山、西山、帽盔山、菊花山、锦江山、元宝山、燕窝山），结合鸭绿江、城市内河水系、公园广场等设置</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个凭水观山眺望点（国门湾公园、安东海关、月亮岛、断桥）。</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景观廊道：合理控制沿路、沿江（河、海）、环山等城市重要地段的景观风貌轴线，打通和连接山水绿色空间，引导形成山水城相融的景观风貌界面。老城区打造</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条重点山水视廊，其中包括</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条道路景观廊道（月亮岛</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菊花山景观廊道、六纬路景观廊道、九纬路景观廊道、体育馆路景观廊道）和</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条水系景观廊道（</w:t>
      </w:r>
      <w:r>
        <w:rPr>
          <w:rFonts w:ascii="Times New Roman" w:eastAsia="仿宋_GB2312" w:hAnsi="Times New Roman" w:cs="Times New Roman" w:hint="eastAsia"/>
          <w:kern w:val="0"/>
          <w:sz w:val="32"/>
          <w:szCs w:val="32"/>
          <w:shd w:val="clear" w:color="auto" w:fill="FFFFFF"/>
        </w:rPr>
        <w:t>大沙河</w:t>
      </w:r>
      <w:r>
        <w:rPr>
          <w:rFonts w:ascii="Times New Roman" w:eastAsia="仿宋_GB2312" w:hAnsi="Times New Roman" w:cs="Times New Roman" w:hint="eastAsia"/>
          <w:sz w:val="32"/>
          <w:szCs w:val="32"/>
        </w:rPr>
        <w:t>景观廊道</w:t>
      </w:r>
      <w:r>
        <w:rPr>
          <w:rFonts w:ascii="Times New Roman" w:eastAsia="仿宋_GB2312" w:hAnsi="Times New Roman" w:cs="Times New Roman" w:hint="eastAsia"/>
          <w:kern w:val="0"/>
          <w:sz w:val="32"/>
          <w:szCs w:val="32"/>
          <w:shd w:val="clear" w:color="auto" w:fill="FFFFFF"/>
        </w:rPr>
        <w:t>、</w:t>
      </w:r>
      <w:proofErr w:type="gramStart"/>
      <w:r>
        <w:rPr>
          <w:rFonts w:ascii="Times New Roman" w:eastAsia="仿宋_GB2312" w:hAnsi="Times New Roman" w:cs="Times New Roman" w:hint="eastAsia"/>
          <w:kern w:val="0"/>
          <w:sz w:val="32"/>
          <w:szCs w:val="32"/>
          <w:shd w:val="clear" w:color="auto" w:fill="FFFFFF"/>
        </w:rPr>
        <w:t>花园河</w:t>
      </w:r>
      <w:r>
        <w:rPr>
          <w:rFonts w:ascii="Times New Roman" w:eastAsia="仿宋_GB2312" w:hAnsi="Times New Roman" w:cs="Times New Roman" w:hint="eastAsia"/>
          <w:sz w:val="32"/>
          <w:szCs w:val="32"/>
        </w:rPr>
        <w:t>景观</w:t>
      </w:r>
      <w:proofErr w:type="gramEnd"/>
      <w:r>
        <w:rPr>
          <w:rFonts w:ascii="Times New Roman" w:eastAsia="仿宋_GB2312" w:hAnsi="Times New Roman" w:cs="Times New Roman" w:hint="eastAsia"/>
          <w:sz w:val="32"/>
          <w:szCs w:val="32"/>
        </w:rPr>
        <w:t>廊道</w:t>
      </w:r>
      <w:r>
        <w:rPr>
          <w:rFonts w:ascii="Times New Roman" w:eastAsia="仿宋_GB2312" w:hAnsi="Times New Roman" w:cs="Times New Roman" w:hint="eastAsia"/>
          <w:kern w:val="0"/>
          <w:sz w:val="32"/>
          <w:szCs w:val="32"/>
          <w:shd w:val="clear" w:color="auto" w:fill="FFFFFF"/>
        </w:rPr>
        <w:t>、五道沟河</w:t>
      </w:r>
      <w:r>
        <w:rPr>
          <w:rFonts w:ascii="Times New Roman" w:eastAsia="仿宋_GB2312" w:hAnsi="Times New Roman" w:cs="Times New Roman" w:hint="eastAsia"/>
          <w:sz w:val="32"/>
          <w:szCs w:val="32"/>
        </w:rPr>
        <w:t>景观廊道）。</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管控要求：严格控制视线通廊范围内建筑高度，保证视线的可达性，降低建筑密度，预留城市通风廊道，严控新增高层建筑，滨水建筑应当设立建筑高度控制区，建筑体量应当腹地高、滨水低、逐级跌落，建筑距离水体岸线的最小距离不得小于其建筑高度。</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71" w:name="_Toc24053"/>
      <w:bookmarkStart w:id="1272" w:name="_Toc25632"/>
      <w:bookmarkStart w:id="1273" w:name="_Toc3936"/>
      <w:bookmarkStart w:id="1274" w:name="_Toc3383"/>
      <w:bookmarkStart w:id="1275" w:name="_Toc14978"/>
      <w:bookmarkStart w:id="1276" w:name="_Toc12775"/>
      <w:bookmarkStart w:id="1277" w:name="_Toc22257"/>
      <w:bookmarkStart w:id="1278" w:name="_Toc12652"/>
      <w:r>
        <w:rPr>
          <w:rFonts w:ascii="Times New Roman" w:eastAsia="楷体_GB2312" w:hAnsi="Times New Roman" w:cs="Times New Roman" w:hint="eastAsia"/>
          <w:sz w:val="32"/>
          <w:szCs w:val="32"/>
        </w:rPr>
        <w:t>优化滨江岸线</w:t>
      </w:r>
      <w:bookmarkEnd w:id="1271"/>
      <w:bookmarkEnd w:id="1272"/>
      <w:bookmarkEnd w:id="1273"/>
      <w:bookmarkEnd w:id="1274"/>
      <w:bookmarkEnd w:id="1275"/>
      <w:bookmarkEnd w:id="1276"/>
      <w:bookmarkEnd w:id="1277"/>
      <w:bookmarkEnd w:id="127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生产型岸线：主要位于临港产业区，塑造大气现代的水景观，临水空间的组织要将大面积草坪和树景融合，同时符合现代生产功能要求。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生态型岸线：主要位于各组团间绿带，维持岸线原生态，</w:t>
      </w:r>
      <w:r>
        <w:rPr>
          <w:rFonts w:ascii="Times New Roman" w:eastAsia="仿宋_GB2312" w:hAnsi="Times New Roman" w:cs="Times New Roman" w:hint="eastAsia"/>
          <w:sz w:val="32"/>
          <w:szCs w:val="32"/>
        </w:rPr>
        <w:lastRenderedPageBreak/>
        <w:t>保留蜿蜒水体，保护周边环境格局和生态体系，提升生物多样性。可建造生态步道。</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城市型岸线：主要位于老城区及新区，采用硬质驳岸，结合生活休闲与生态功能，建设绿地公园等休闲空间，可建设少量配套服务设施。</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文化型岸线：主要位于老城区断桥历史片区，采用硬质驳岸，滨水绿化带设置步行道、自行车道，不种植大树确保开阔视野，周围可有小体量建筑作为服务设施。</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79" w:name="_Toc14970"/>
      <w:bookmarkStart w:id="1280" w:name="_Toc29524"/>
      <w:bookmarkStart w:id="1281" w:name="_Toc11257"/>
      <w:bookmarkStart w:id="1282" w:name="_Toc5096"/>
      <w:bookmarkStart w:id="1283" w:name="_Toc11267"/>
      <w:bookmarkStart w:id="1284" w:name="_Toc6374"/>
      <w:bookmarkStart w:id="1285" w:name="_Toc29096"/>
      <w:bookmarkStart w:id="1286" w:name="_Toc16224"/>
      <w:r>
        <w:rPr>
          <w:rFonts w:ascii="Times New Roman" w:eastAsia="楷体_GB2312" w:hAnsi="Times New Roman" w:cs="Times New Roman" w:hint="eastAsia"/>
          <w:sz w:val="32"/>
          <w:szCs w:val="32"/>
        </w:rPr>
        <w:t>明确建筑风格和色彩</w:t>
      </w:r>
      <w:bookmarkEnd w:id="1279"/>
      <w:bookmarkEnd w:id="1280"/>
      <w:bookmarkEnd w:id="1281"/>
      <w:bookmarkEnd w:id="1282"/>
      <w:bookmarkEnd w:id="1283"/>
      <w:bookmarkEnd w:id="1284"/>
      <w:bookmarkEnd w:id="1285"/>
      <w:bookmarkEnd w:id="128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丹东城市总体建筑风格为现代滨江宜居城市。在风貌重要控制点着重融入中国传统文化元素，打造新中式、中式特色建筑风格街道</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片区；选择局部节点，打造朝鲜族风格、满族风格等特色建筑风格街道</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片区。建筑色彩尊重丹东市建筑物传统惯用色，强调人工色与自然色的搭配，提取“江河之蓝”“山川之绿”“银杏之黄”“英雄之红”共同构成城市基准色谱。</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87" w:name="_Toc2678"/>
      <w:bookmarkStart w:id="1288" w:name="_Toc6254"/>
      <w:bookmarkStart w:id="1289" w:name="_Toc3028"/>
      <w:bookmarkStart w:id="1290" w:name="_Toc2536"/>
      <w:bookmarkStart w:id="1291" w:name="_Toc31354"/>
      <w:bookmarkStart w:id="1292" w:name="_Toc2886"/>
      <w:bookmarkStart w:id="1293" w:name="_Toc15734"/>
      <w:bookmarkStart w:id="1294" w:name="_Toc31327"/>
      <w:r>
        <w:rPr>
          <w:rFonts w:ascii="Times New Roman" w:eastAsia="楷体_GB2312" w:hAnsi="Times New Roman" w:cs="Times New Roman" w:hint="eastAsia"/>
          <w:sz w:val="32"/>
          <w:szCs w:val="32"/>
        </w:rPr>
        <w:t>划定建筑风貌分区</w:t>
      </w:r>
      <w:bookmarkEnd w:id="1287"/>
      <w:bookmarkEnd w:id="1288"/>
      <w:bookmarkEnd w:id="1289"/>
      <w:bookmarkEnd w:id="1290"/>
      <w:bookmarkEnd w:id="1291"/>
      <w:bookmarkEnd w:id="1292"/>
      <w:bookmarkEnd w:id="1293"/>
      <w:bookmarkEnd w:id="129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打造七大风貌板块，包括国门湾板块、商务商贸板块、综合居住板块、历史风貌板块、浅山协调板块、北部门户板块、金山小镇板块。</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295" w:name="_Toc16748"/>
      <w:bookmarkStart w:id="1296" w:name="_Toc27164"/>
      <w:bookmarkStart w:id="1297" w:name="_Toc31477"/>
      <w:bookmarkStart w:id="1298" w:name="_Toc21689"/>
      <w:bookmarkStart w:id="1299" w:name="_Toc14720"/>
      <w:bookmarkStart w:id="1300" w:name="_Toc2390"/>
      <w:bookmarkStart w:id="1301" w:name="_Toc25995"/>
      <w:bookmarkStart w:id="1302" w:name="_Toc6142"/>
      <w:r>
        <w:rPr>
          <w:rFonts w:ascii="Times New Roman" w:eastAsia="楷体_GB2312" w:hAnsi="Times New Roman" w:cs="Times New Roman" w:hint="eastAsia"/>
          <w:sz w:val="32"/>
          <w:szCs w:val="32"/>
        </w:rPr>
        <w:t>明确城市设计重点控制区</w:t>
      </w:r>
      <w:bookmarkEnd w:id="1295"/>
      <w:bookmarkEnd w:id="1296"/>
      <w:bookmarkEnd w:id="1297"/>
      <w:bookmarkEnd w:id="1298"/>
      <w:bookmarkEnd w:id="1299"/>
      <w:bookmarkEnd w:id="1300"/>
      <w:bookmarkEnd w:id="1301"/>
      <w:bookmarkEnd w:id="130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历史风貌集中区：保护区域整体空间格局、肌理和景观特征</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sz w:val="32"/>
          <w:szCs w:val="32"/>
        </w:rPr>
        <w:t>新建、扩建、改建建筑时，在高度、体量、色彩、材料等方面与历史风貌协调。以“突出城市历史特色”为原则，对重点街道进行沿街立面改造，活化利用历史风貌区，打造可参观、可体验的历史遗产。</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城市商贸中心区：以现代风格为主，打造商业、商务办公综合体，形成一个布局合理、功能完善，具备区域影响力的综合功能商业圈。</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交通枢纽地区：综合考虑枢纽换乘流线组织，控制丹东站南北沿线建筑高度，打造具有边城文化特色的现代门户枢纽；高速公路出入口以绿山为基底，增加山水文化内涵，塑造“秀美丹东”的公路门户形象。</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旧城更新区：以鸭绿江滨江游为主线，更新改造滨江沿街立面，以现代建筑风貌为主，采用具有地域特点的建筑形式、风格、色彩，同时应考虑道路两侧景观设计，增加城市绿地、广场、游憩及标志性文化节点。</w:t>
      </w:r>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沿山地区：沿山地</w:t>
      </w:r>
      <w:proofErr w:type="gramStart"/>
      <w:r>
        <w:rPr>
          <w:rFonts w:ascii="Times New Roman" w:eastAsia="仿宋_GB2312" w:hAnsi="Times New Roman" w:cs="Times New Roman" w:hint="eastAsia"/>
          <w:sz w:val="32"/>
          <w:szCs w:val="32"/>
        </w:rPr>
        <w:t>区建议新建住</w:t>
      </w:r>
      <w:proofErr w:type="gramEnd"/>
      <w:r>
        <w:rPr>
          <w:rFonts w:ascii="Times New Roman" w:eastAsia="仿宋_GB2312" w:hAnsi="Times New Roman" w:cs="Times New Roman" w:hint="eastAsia"/>
          <w:sz w:val="32"/>
          <w:szCs w:val="32"/>
        </w:rPr>
        <w:t>区以多层为主，山体相邻地区宜采用低密度的建设方式，应在一定范围内提供连续通达的视线通廊，严格避免建造对景观遮挡严重的板式建筑。</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滨水地区：坚持人与自然的设计主题，多种驳岸形式交替运用，追求自然生态，创造具有时代感、生态感和文化感的滨水景观。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新城新区：打造新地标，以平屋顶、大体量、直线条塑</w:t>
      </w:r>
      <w:r>
        <w:rPr>
          <w:rFonts w:ascii="Times New Roman" w:eastAsia="仿宋_GB2312" w:hAnsi="Times New Roman" w:cs="Times New Roman" w:hint="eastAsia"/>
          <w:sz w:val="32"/>
          <w:szCs w:val="32"/>
        </w:rPr>
        <w:lastRenderedPageBreak/>
        <w:t>造简洁、现代风格。建筑色彩以蓝绿色系为主体现与鸭绿江风景的协调，冷灰为基色。</w:t>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303" w:name="_Toc26289"/>
      <w:bookmarkStart w:id="1304" w:name="_Toc30104"/>
      <w:bookmarkStart w:id="1305" w:name="_Toc156"/>
      <w:bookmarkStart w:id="1306" w:name="_Toc13494"/>
      <w:bookmarkStart w:id="1307" w:name="_Toc1382"/>
      <w:bookmarkStart w:id="1308" w:name="_Toc13725"/>
      <w:bookmarkStart w:id="1309" w:name="_Toc30753"/>
      <w:bookmarkStart w:id="1310" w:name="_Toc17185"/>
      <w:bookmarkStart w:id="1311" w:name="_Toc30491"/>
      <w:bookmarkStart w:id="1312" w:name="_Toc15621"/>
      <w:r>
        <w:rPr>
          <w:rFonts w:ascii="Times New Roman" w:eastAsia="黑体" w:hAnsi="Times New Roman" w:hint="eastAsia"/>
          <w:b w:val="0"/>
          <w:bCs w:val="0"/>
          <w:sz w:val="32"/>
        </w:rPr>
        <w:t>有序推进城市更新</w:t>
      </w:r>
      <w:bookmarkEnd w:id="1303"/>
      <w:bookmarkEnd w:id="1304"/>
      <w:bookmarkEnd w:id="1305"/>
      <w:bookmarkEnd w:id="1306"/>
      <w:bookmarkEnd w:id="1307"/>
      <w:bookmarkEnd w:id="1308"/>
      <w:bookmarkEnd w:id="1309"/>
      <w:bookmarkEnd w:id="1310"/>
      <w:bookmarkEnd w:id="1311"/>
      <w:bookmarkEnd w:id="1312"/>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13" w:name="_Toc16359"/>
      <w:bookmarkStart w:id="1314" w:name="_Toc4415"/>
      <w:bookmarkStart w:id="1315" w:name="_Toc20161"/>
      <w:r>
        <w:rPr>
          <w:rFonts w:ascii="Times New Roman" w:eastAsia="楷体_GB2312" w:hAnsi="Times New Roman" w:cs="Times New Roman" w:hint="eastAsia"/>
          <w:sz w:val="32"/>
          <w:szCs w:val="32"/>
        </w:rPr>
        <w:t>城市更新总体目标</w:t>
      </w:r>
      <w:bookmarkEnd w:id="1313"/>
      <w:bookmarkEnd w:id="1314"/>
      <w:bookmarkEnd w:id="131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围绕建设“开放型城市、创新型城市和幸福宜居城市”的总目标，以政策为纲、绿色为要、民生为本、文化为魂、项目为基，推进存量提质、增量提标、品质提档、功能提活，实施有机更新，推动活力城市、人文城市、绿色城市、韧性城市、智慧城市建设，构建蓝绿交织，功能融合、便捷高效的空间结构。</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16" w:name="_Toc22807"/>
      <w:bookmarkStart w:id="1317" w:name="_Toc8767"/>
      <w:bookmarkStart w:id="1318" w:name="_Toc3415"/>
      <w:bookmarkStart w:id="1319" w:name="_Toc27239"/>
      <w:bookmarkStart w:id="1320" w:name="_Toc14203"/>
      <w:bookmarkStart w:id="1321" w:name="_Toc28601"/>
      <w:bookmarkStart w:id="1322" w:name="_Toc11958"/>
      <w:bookmarkStart w:id="1323" w:name="_Toc32165"/>
      <w:proofErr w:type="gramStart"/>
      <w:r>
        <w:rPr>
          <w:rFonts w:ascii="Times New Roman" w:eastAsia="楷体_GB2312" w:hAnsi="Times New Roman" w:cs="Times New Roman" w:hint="eastAsia"/>
          <w:sz w:val="32"/>
          <w:szCs w:val="32"/>
        </w:rPr>
        <w:t>丰富业</w:t>
      </w:r>
      <w:proofErr w:type="gramEnd"/>
      <w:r>
        <w:rPr>
          <w:rFonts w:ascii="Times New Roman" w:eastAsia="楷体_GB2312" w:hAnsi="Times New Roman" w:cs="Times New Roman" w:hint="eastAsia"/>
          <w:sz w:val="32"/>
          <w:szCs w:val="32"/>
        </w:rPr>
        <w:t>态功能，提升更新活力</w:t>
      </w:r>
      <w:bookmarkEnd w:id="1316"/>
      <w:bookmarkEnd w:id="1317"/>
      <w:bookmarkEnd w:id="1318"/>
      <w:bookmarkEnd w:id="1319"/>
      <w:bookmarkEnd w:id="1320"/>
      <w:bookmarkEnd w:id="1321"/>
      <w:bookmarkEnd w:id="1322"/>
      <w:bookmarkEnd w:id="132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加快推进低效产业用地腾退改造，加强工业用地腾退土地再利用，逐步实现城市空间布局优化、产业转型升级、居住环境和条件改善。加大产业园区、物流园区等产业配套设施建设。推动传统商</w:t>
      </w:r>
      <w:proofErr w:type="gramStart"/>
      <w:r>
        <w:rPr>
          <w:rFonts w:ascii="Times New Roman" w:eastAsia="仿宋_GB2312" w:hAnsi="Times New Roman" w:cs="Times New Roman" w:hint="eastAsia"/>
          <w:sz w:val="32"/>
          <w:szCs w:val="32"/>
        </w:rPr>
        <w:t>圈调整</w:t>
      </w:r>
      <w:proofErr w:type="gramEnd"/>
      <w:r>
        <w:rPr>
          <w:rFonts w:ascii="Times New Roman" w:eastAsia="仿宋_GB2312" w:hAnsi="Times New Roman" w:cs="Times New Roman" w:hint="eastAsia"/>
          <w:sz w:val="32"/>
          <w:szCs w:val="32"/>
        </w:rPr>
        <w:t>产业结构，优化商业</w:t>
      </w:r>
      <w:proofErr w:type="gramStart"/>
      <w:r>
        <w:rPr>
          <w:rFonts w:ascii="Times New Roman" w:eastAsia="仿宋_GB2312" w:hAnsi="Times New Roman" w:cs="Times New Roman" w:hint="eastAsia"/>
          <w:sz w:val="32"/>
          <w:szCs w:val="32"/>
        </w:rPr>
        <w:t>业</w:t>
      </w:r>
      <w:proofErr w:type="gramEnd"/>
      <w:r>
        <w:rPr>
          <w:rFonts w:ascii="Times New Roman" w:eastAsia="仿宋_GB2312" w:hAnsi="Times New Roman" w:cs="Times New Roman" w:hint="eastAsia"/>
          <w:sz w:val="32"/>
          <w:szCs w:val="32"/>
        </w:rPr>
        <w:t>态。大力</w:t>
      </w:r>
      <w:proofErr w:type="gramStart"/>
      <w:r>
        <w:rPr>
          <w:rFonts w:ascii="Times New Roman" w:eastAsia="仿宋_GB2312" w:hAnsi="Times New Roman" w:cs="Times New Roman" w:hint="eastAsia"/>
          <w:sz w:val="32"/>
          <w:szCs w:val="32"/>
        </w:rPr>
        <w:t>植入文</w:t>
      </w:r>
      <w:proofErr w:type="gramEnd"/>
      <w:r>
        <w:rPr>
          <w:rFonts w:ascii="Times New Roman" w:eastAsia="仿宋_GB2312" w:hAnsi="Times New Roman" w:cs="Times New Roman" w:hint="eastAsia"/>
          <w:sz w:val="32"/>
          <w:szCs w:val="32"/>
        </w:rPr>
        <w:t>创、康养等新型产业</w:t>
      </w:r>
      <w:proofErr w:type="gramStart"/>
      <w:r>
        <w:rPr>
          <w:rFonts w:ascii="Times New Roman" w:eastAsia="仿宋_GB2312" w:hAnsi="Times New Roman" w:cs="Times New Roman" w:hint="eastAsia"/>
          <w:sz w:val="32"/>
          <w:szCs w:val="32"/>
        </w:rPr>
        <w:t>业</w:t>
      </w:r>
      <w:proofErr w:type="gramEnd"/>
      <w:r>
        <w:rPr>
          <w:rFonts w:ascii="Times New Roman" w:eastAsia="仿宋_GB2312" w:hAnsi="Times New Roman" w:cs="Times New Roman" w:hint="eastAsia"/>
          <w:sz w:val="32"/>
          <w:szCs w:val="32"/>
        </w:rPr>
        <w:t>态，促进产业创新发展。</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仿宋_GB2312" w:hAnsi="Times New Roman" w:cs="Times New Roman"/>
          <w:sz w:val="32"/>
          <w:szCs w:val="32"/>
        </w:rPr>
      </w:pPr>
      <w:bookmarkStart w:id="1324" w:name="_Toc4600"/>
      <w:bookmarkStart w:id="1325" w:name="_Toc30045"/>
      <w:bookmarkStart w:id="1326" w:name="_Toc19213"/>
      <w:bookmarkStart w:id="1327" w:name="_Toc17620"/>
      <w:bookmarkStart w:id="1328" w:name="_Toc9014"/>
      <w:bookmarkStart w:id="1329" w:name="_Toc29799"/>
      <w:bookmarkStart w:id="1330" w:name="_Toc19505"/>
      <w:bookmarkStart w:id="1331" w:name="_Toc7114"/>
      <w:r>
        <w:rPr>
          <w:rFonts w:ascii="Times New Roman" w:eastAsia="楷体_GB2312" w:hAnsi="Times New Roman" w:cs="Times New Roman" w:hint="eastAsia"/>
          <w:sz w:val="32"/>
          <w:szCs w:val="32"/>
        </w:rPr>
        <w:t>明确更新对象</w:t>
      </w:r>
      <w:bookmarkEnd w:id="1324"/>
      <w:bookmarkEnd w:id="1325"/>
      <w:r>
        <w:rPr>
          <w:rFonts w:ascii="Times New Roman" w:eastAsia="楷体_GB2312" w:hAnsi="Times New Roman" w:cs="Times New Roman" w:hint="eastAsia"/>
          <w:sz w:val="32"/>
          <w:szCs w:val="32"/>
        </w:rPr>
        <w:t>和更新模式</w:t>
      </w:r>
      <w:bookmarkEnd w:id="1326"/>
      <w:bookmarkEnd w:id="1327"/>
      <w:bookmarkEnd w:id="1328"/>
      <w:bookmarkEnd w:id="1329"/>
      <w:bookmarkEnd w:id="1330"/>
      <w:bookmarkEnd w:id="1331"/>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更新对象包括老旧小区、老旧商业区、老旧厂区、历史文化街区四类。划定振兴西片区、振兴中片区、振兴东片区、元宝北片区、</w:t>
      </w:r>
      <w:proofErr w:type="gramStart"/>
      <w:r>
        <w:rPr>
          <w:rFonts w:ascii="Times New Roman" w:eastAsia="仿宋_GB2312" w:hAnsi="Times New Roman" w:cs="Times New Roman" w:hint="eastAsia"/>
          <w:sz w:val="32"/>
          <w:szCs w:val="32"/>
        </w:rPr>
        <w:t>元宝南</w:t>
      </w:r>
      <w:proofErr w:type="gramEnd"/>
      <w:r>
        <w:rPr>
          <w:rFonts w:ascii="Times New Roman" w:eastAsia="仿宋_GB2312" w:hAnsi="Times New Roman" w:cs="Times New Roman" w:hint="eastAsia"/>
          <w:sz w:val="32"/>
          <w:szCs w:val="32"/>
        </w:rPr>
        <w:t>片区、振安片区六大更新片区。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以四类更新对象为基础，以拆除重建、综合整治、维修</w:t>
      </w:r>
      <w:r>
        <w:rPr>
          <w:rFonts w:ascii="Times New Roman" w:eastAsia="仿宋_GB2312" w:hAnsi="Times New Roman" w:cs="Times New Roman" w:hint="eastAsia"/>
          <w:sz w:val="32"/>
          <w:szCs w:val="32"/>
        </w:rPr>
        <w:lastRenderedPageBreak/>
        <w:t>保护三类更新模式分类指导对象改造。拆除重建通过对建筑物的拆除清理、重新建设等方式进行改造，同时也包括拆旧后恢复生态景观用途；综合整治包括整修改善、功能改变和局部拆建；维修保护指对已纳入更新范围的历史建筑、文物保护单位等用地，在坚持保护优化的前提下，进行合理适度利用。</w:t>
      </w:r>
    </w:p>
    <w:p w:rsidR="00A765C5" w:rsidRDefault="00702EF7" w:rsidP="006B5E5D">
      <w:pPr>
        <w:pStyle w:val="2"/>
        <w:numPr>
          <w:ilvl w:val="0"/>
          <w:numId w:val="10"/>
        </w:numPr>
        <w:snapToGrid w:val="0"/>
        <w:spacing w:beforeLines="50" w:before="156" w:afterLines="50" w:after="156" w:line="600" w:lineRule="exact"/>
        <w:jc w:val="center"/>
        <w:rPr>
          <w:rFonts w:ascii="Times New Roman" w:eastAsia="黑体" w:hAnsi="Times New Roman"/>
          <w:b w:val="0"/>
          <w:bCs w:val="0"/>
          <w:sz w:val="32"/>
        </w:rPr>
      </w:pPr>
      <w:bookmarkStart w:id="1332" w:name="_Toc23005"/>
      <w:bookmarkStart w:id="1333" w:name="_Toc29230"/>
      <w:bookmarkStart w:id="1334" w:name="_Toc27807"/>
      <w:bookmarkStart w:id="1335" w:name="_Toc28439"/>
      <w:bookmarkStart w:id="1336" w:name="_Toc31155"/>
      <w:bookmarkStart w:id="1337" w:name="_Toc10423"/>
      <w:bookmarkStart w:id="1338" w:name="_Toc31614"/>
      <w:bookmarkStart w:id="1339" w:name="_Toc11315"/>
      <w:bookmarkStart w:id="1340" w:name="_Toc8818"/>
      <w:bookmarkStart w:id="1341" w:name="_Toc12428"/>
      <w:bookmarkStart w:id="1342" w:name="_Toc16726"/>
      <w:bookmarkStart w:id="1343" w:name="_Toc20440"/>
      <w:bookmarkStart w:id="1344" w:name="_Toc15473"/>
      <w:r>
        <w:rPr>
          <w:rFonts w:ascii="Times New Roman" w:eastAsia="黑体" w:hAnsi="Times New Roman" w:hint="eastAsia"/>
          <w:b w:val="0"/>
          <w:bCs w:val="0"/>
          <w:sz w:val="32"/>
        </w:rPr>
        <w:t>推进港</w:t>
      </w:r>
      <w:proofErr w:type="gramStart"/>
      <w:r>
        <w:rPr>
          <w:rFonts w:ascii="Times New Roman" w:eastAsia="黑体" w:hAnsi="Times New Roman" w:hint="eastAsia"/>
          <w:b w:val="0"/>
          <w:bCs w:val="0"/>
          <w:sz w:val="32"/>
        </w:rPr>
        <w:t>产城协调</w:t>
      </w:r>
      <w:proofErr w:type="gramEnd"/>
      <w:r>
        <w:rPr>
          <w:rFonts w:ascii="Times New Roman" w:eastAsia="黑体" w:hAnsi="Times New Roman" w:hint="eastAsia"/>
          <w:b w:val="0"/>
          <w:bCs w:val="0"/>
          <w:sz w:val="32"/>
        </w:rPr>
        <w:t>发展</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45" w:name="_Toc4377"/>
      <w:bookmarkStart w:id="1346" w:name="_Toc20617"/>
      <w:bookmarkStart w:id="1347" w:name="_Toc24712"/>
      <w:bookmarkStart w:id="1348" w:name="_Toc19582"/>
      <w:bookmarkStart w:id="1349" w:name="_Toc24877"/>
      <w:bookmarkStart w:id="1350" w:name="_Toc27877"/>
      <w:bookmarkStart w:id="1351" w:name="_Toc17130"/>
      <w:bookmarkStart w:id="1352" w:name="_Toc12667"/>
      <w:r>
        <w:rPr>
          <w:rFonts w:ascii="Times New Roman" w:eastAsia="楷体_GB2312" w:hAnsi="Times New Roman" w:cs="Times New Roman" w:hint="eastAsia"/>
          <w:sz w:val="32"/>
          <w:szCs w:val="32"/>
        </w:rPr>
        <w:t>协调发展范围</w:t>
      </w:r>
      <w:bookmarkEnd w:id="1345"/>
      <w:bookmarkEnd w:id="1346"/>
      <w:bookmarkEnd w:id="1347"/>
      <w:bookmarkEnd w:id="1348"/>
      <w:bookmarkEnd w:id="1349"/>
      <w:bookmarkEnd w:id="1350"/>
      <w:bookmarkEnd w:id="1351"/>
      <w:bookmarkEnd w:id="1352"/>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包括丹东市中心城区、东港市中心城区和周边城镇（</w:t>
      </w:r>
      <w:proofErr w:type="gramStart"/>
      <w:r>
        <w:rPr>
          <w:rFonts w:ascii="Times New Roman" w:eastAsia="仿宋_GB2312" w:hAnsi="Times New Roman" w:cs="Times New Roman" w:hint="eastAsia"/>
          <w:sz w:val="32"/>
          <w:szCs w:val="32"/>
        </w:rPr>
        <w:t>包括前阳镇</w:t>
      </w:r>
      <w:proofErr w:type="gramEnd"/>
      <w:r>
        <w:rPr>
          <w:rFonts w:ascii="Times New Roman" w:eastAsia="仿宋_GB2312" w:hAnsi="Times New Roman" w:cs="Times New Roman" w:hint="eastAsia"/>
          <w:sz w:val="32"/>
          <w:szCs w:val="32"/>
        </w:rPr>
        <w:t>、九连城镇、金山镇、汤池镇、同兴镇、楼房镇、五龙背镇）。</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53" w:name="_Toc3283"/>
      <w:bookmarkStart w:id="1354" w:name="_Toc4580"/>
      <w:bookmarkStart w:id="1355" w:name="_Toc11973"/>
      <w:bookmarkStart w:id="1356" w:name="_Toc14324"/>
      <w:bookmarkStart w:id="1357" w:name="_Toc26204"/>
      <w:bookmarkStart w:id="1358" w:name="_Toc27367"/>
      <w:bookmarkStart w:id="1359" w:name="_Toc11348"/>
      <w:bookmarkStart w:id="1360" w:name="_Toc24241"/>
      <w:r>
        <w:rPr>
          <w:rFonts w:ascii="Times New Roman" w:eastAsia="楷体_GB2312" w:hAnsi="Times New Roman" w:cs="Times New Roman" w:hint="eastAsia"/>
          <w:sz w:val="32"/>
          <w:szCs w:val="32"/>
        </w:rPr>
        <w:t>协调发展策略</w:t>
      </w:r>
      <w:bookmarkEnd w:id="1353"/>
      <w:bookmarkEnd w:id="1354"/>
      <w:bookmarkEnd w:id="1355"/>
      <w:bookmarkEnd w:id="1356"/>
      <w:bookmarkEnd w:id="1357"/>
      <w:bookmarkEnd w:id="1358"/>
      <w:bookmarkEnd w:id="1359"/>
      <w:bookmarkEnd w:id="136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推进城市功能和结构“向海发展”；对丹东、东港中心城区统一规划、统一实施、统一管理，优先发展沿江沿海区域；丹东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东港之间建立合理的分工合作和高效的协调机制。</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61" w:name="_Toc13839"/>
      <w:bookmarkStart w:id="1362" w:name="_Toc10574"/>
      <w:bookmarkStart w:id="1363" w:name="_Toc30872"/>
      <w:bookmarkStart w:id="1364" w:name="_Toc4172"/>
      <w:bookmarkStart w:id="1365" w:name="_Toc7946"/>
      <w:bookmarkStart w:id="1366" w:name="_Toc4045"/>
      <w:bookmarkStart w:id="1367" w:name="_Toc30087"/>
      <w:bookmarkStart w:id="1368" w:name="_Toc6534"/>
      <w:r>
        <w:rPr>
          <w:rFonts w:ascii="Times New Roman" w:eastAsia="楷体_GB2312" w:hAnsi="Times New Roman" w:cs="Times New Roman" w:hint="eastAsia"/>
          <w:sz w:val="32"/>
          <w:szCs w:val="32"/>
        </w:rPr>
        <w:t>协调发展空间结构</w:t>
      </w:r>
      <w:bookmarkEnd w:id="1361"/>
      <w:bookmarkEnd w:id="1362"/>
      <w:bookmarkEnd w:id="1363"/>
      <w:bookmarkEnd w:id="1364"/>
      <w:bookmarkEnd w:id="1365"/>
      <w:bookmarkEnd w:id="1366"/>
      <w:bookmarkEnd w:id="1367"/>
      <w:bookmarkEnd w:id="136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构建“一港一区两城多点”的总体空间结构。“一港”指丹东港，“一区”指临港产业区，“两城”指丹东中心城区和东港中心城区，“多点”指在中心城区周边布局多个重要城镇。</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69" w:name="_Toc10272"/>
      <w:bookmarkStart w:id="1370" w:name="_Toc6032"/>
      <w:bookmarkStart w:id="1371" w:name="_Toc4748"/>
      <w:bookmarkStart w:id="1372" w:name="_Toc30922"/>
      <w:bookmarkStart w:id="1373" w:name="_Toc20352"/>
      <w:bookmarkStart w:id="1374" w:name="_Toc23968"/>
      <w:bookmarkStart w:id="1375" w:name="_Toc6122"/>
      <w:bookmarkStart w:id="1376" w:name="_Toc11882"/>
      <w:r>
        <w:rPr>
          <w:rFonts w:ascii="Times New Roman" w:eastAsia="楷体_GB2312" w:hAnsi="Times New Roman" w:cs="Times New Roman" w:hint="eastAsia"/>
          <w:sz w:val="32"/>
          <w:szCs w:val="32"/>
        </w:rPr>
        <w:t>产业协调发展指引</w:t>
      </w:r>
      <w:bookmarkEnd w:id="1369"/>
      <w:bookmarkEnd w:id="1370"/>
      <w:bookmarkEnd w:id="1371"/>
      <w:bookmarkEnd w:id="1372"/>
      <w:bookmarkEnd w:id="1373"/>
      <w:bookmarkEnd w:id="1374"/>
      <w:bookmarkEnd w:id="1375"/>
      <w:bookmarkEnd w:id="137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互市贸易创新发展区打造东北亚地区重要的进出口加工贸易基地，重点建设综合保税区、日本产业园和韩国产业园，重点发展保税物流、保税加工产业，借助互市贸易等政策开展日韩高端产业产品落地加工；临港工业区重点打造东北地区重要的绿色新型临港工业基地，着力发展涉海装备制造、不锈钢深加工、汽车及零部件、智能仪器仪表、农林产品加工、绿色食品制造等产业；高新园区重点打造国家级高新技术产业区，重点以东港、</w:t>
      </w:r>
      <w:proofErr w:type="gramStart"/>
      <w:r>
        <w:rPr>
          <w:rFonts w:ascii="Times New Roman" w:eastAsia="仿宋_GB2312" w:hAnsi="Times New Roman" w:cs="Times New Roman" w:hint="eastAsia"/>
          <w:sz w:val="32"/>
          <w:szCs w:val="32"/>
        </w:rPr>
        <w:t>前阳经济</w:t>
      </w:r>
      <w:proofErr w:type="gramEnd"/>
      <w:r>
        <w:rPr>
          <w:rFonts w:ascii="Times New Roman" w:eastAsia="仿宋_GB2312" w:hAnsi="Times New Roman" w:cs="Times New Roman" w:hint="eastAsia"/>
          <w:sz w:val="32"/>
          <w:szCs w:val="32"/>
        </w:rPr>
        <w:t>开发区和高新技术产业开发区为平台，发展海产品加工、海洋生物、智能制造、能源装备、精细化工和商贸物流等产业。</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77" w:name="_Toc26370"/>
      <w:bookmarkStart w:id="1378" w:name="_Toc31997"/>
      <w:bookmarkStart w:id="1379" w:name="_Toc21494"/>
      <w:bookmarkStart w:id="1380" w:name="_Toc9672"/>
      <w:bookmarkStart w:id="1381" w:name="_Toc19077"/>
      <w:bookmarkStart w:id="1382" w:name="_Toc17215"/>
      <w:bookmarkStart w:id="1383" w:name="_Toc22004"/>
      <w:bookmarkStart w:id="1384" w:name="_Toc10853"/>
      <w:r>
        <w:rPr>
          <w:rFonts w:ascii="Times New Roman" w:eastAsia="楷体_GB2312" w:hAnsi="Times New Roman" w:cs="Times New Roman" w:hint="eastAsia"/>
          <w:sz w:val="32"/>
          <w:szCs w:val="32"/>
        </w:rPr>
        <w:t>城镇功能协调指引</w:t>
      </w:r>
      <w:bookmarkEnd w:id="1377"/>
      <w:bookmarkEnd w:id="1378"/>
      <w:bookmarkEnd w:id="1379"/>
      <w:bookmarkEnd w:id="1380"/>
      <w:bookmarkEnd w:id="1381"/>
      <w:bookmarkEnd w:id="1382"/>
      <w:bookmarkEnd w:id="1383"/>
      <w:bookmarkEnd w:id="138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进一步繁荣新区、做大高新区，持续提升东港经济开发区和</w:t>
      </w:r>
      <w:proofErr w:type="gramStart"/>
      <w:r>
        <w:rPr>
          <w:rFonts w:ascii="Times New Roman" w:eastAsia="仿宋_GB2312" w:hAnsi="Times New Roman" w:cs="Times New Roman" w:hint="eastAsia"/>
          <w:sz w:val="32"/>
          <w:szCs w:val="32"/>
        </w:rPr>
        <w:t>前阳经济</w:t>
      </w:r>
      <w:proofErr w:type="gramEnd"/>
      <w:r>
        <w:rPr>
          <w:rFonts w:ascii="Times New Roman" w:eastAsia="仿宋_GB2312" w:hAnsi="Times New Roman" w:cs="Times New Roman" w:hint="eastAsia"/>
          <w:sz w:val="32"/>
          <w:szCs w:val="32"/>
        </w:rPr>
        <w:t>开发区承载能力，吸引项目向园区集中，产业向港口聚合，人口向城区集聚，实现中心城市提质、中小城镇提升。临</w:t>
      </w:r>
      <w:proofErr w:type="gramStart"/>
      <w:r>
        <w:rPr>
          <w:rFonts w:ascii="Times New Roman" w:eastAsia="仿宋_GB2312" w:hAnsi="Times New Roman" w:cs="Times New Roman" w:hint="eastAsia"/>
          <w:sz w:val="32"/>
          <w:szCs w:val="32"/>
        </w:rPr>
        <w:t>港区域与周边</w:t>
      </w:r>
      <w:proofErr w:type="gramEnd"/>
      <w:r>
        <w:rPr>
          <w:rFonts w:ascii="Times New Roman" w:eastAsia="仿宋_GB2312" w:hAnsi="Times New Roman" w:cs="Times New Roman" w:hint="eastAsia"/>
          <w:sz w:val="32"/>
          <w:szCs w:val="32"/>
        </w:rPr>
        <w:t>城区无缝衔接，构建布局合理、生态宜居、承载力强的</w:t>
      </w:r>
      <w:proofErr w:type="gramStart"/>
      <w:r>
        <w:rPr>
          <w:rFonts w:ascii="Times New Roman" w:eastAsia="仿宋_GB2312" w:hAnsi="Times New Roman" w:cs="Times New Roman" w:hint="eastAsia"/>
          <w:sz w:val="32"/>
          <w:szCs w:val="32"/>
        </w:rPr>
        <w:t>港产城城镇体系</w:t>
      </w:r>
      <w:proofErr w:type="gramEnd"/>
      <w:r>
        <w:rPr>
          <w:rFonts w:ascii="Times New Roman" w:eastAsia="仿宋_GB2312" w:hAnsi="Times New Roman" w:cs="Times New Roman" w:hint="eastAsia"/>
          <w:sz w:val="32"/>
          <w:szCs w:val="32"/>
        </w:rPr>
        <w:t>。</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85" w:name="_Toc22143"/>
      <w:bookmarkStart w:id="1386" w:name="_Toc28506"/>
      <w:bookmarkStart w:id="1387" w:name="_Toc13559"/>
      <w:bookmarkStart w:id="1388" w:name="_Toc6685"/>
      <w:bookmarkStart w:id="1389" w:name="_Toc3284"/>
      <w:bookmarkStart w:id="1390" w:name="_Toc14925"/>
      <w:bookmarkStart w:id="1391" w:name="_Toc21409"/>
      <w:bookmarkStart w:id="1392" w:name="_Toc23346"/>
      <w:r>
        <w:rPr>
          <w:rFonts w:ascii="Times New Roman" w:eastAsia="楷体_GB2312" w:hAnsi="Times New Roman" w:cs="Times New Roman" w:hint="eastAsia"/>
          <w:sz w:val="32"/>
          <w:szCs w:val="32"/>
        </w:rPr>
        <w:t>用地布局协调发展指引</w:t>
      </w:r>
      <w:bookmarkEnd w:id="1385"/>
      <w:bookmarkEnd w:id="1386"/>
      <w:bookmarkEnd w:id="1387"/>
      <w:bookmarkEnd w:id="1388"/>
      <w:bookmarkEnd w:id="1389"/>
      <w:bookmarkEnd w:id="1390"/>
      <w:bookmarkEnd w:id="1391"/>
      <w:bookmarkEnd w:id="139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统筹考虑丹东、东港中心城区及外围城镇的城乡建设用地整体发展和功能共享，合理布置用地比例和用地布局。</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393" w:name="_Toc16131"/>
      <w:bookmarkStart w:id="1394" w:name="_Toc19672"/>
      <w:bookmarkStart w:id="1395" w:name="_Toc10901"/>
      <w:bookmarkStart w:id="1396" w:name="_Toc8755"/>
      <w:bookmarkStart w:id="1397" w:name="_Toc10306"/>
      <w:bookmarkStart w:id="1398" w:name="_Toc18638"/>
      <w:bookmarkStart w:id="1399" w:name="_Toc21459"/>
      <w:bookmarkStart w:id="1400" w:name="_Toc16585"/>
      <w:r>
        <w:rPr>
          <w:rFonts w:ascii="Times New Roman" w:eastAsia="楷体_GB2312" w:hAnsi="Times New Roman" w:cs="Times New Roman" w:hint="eastAsia"/>
          <w:sz w:val="32"/>
          <w:szCs w:val="32"/>
        </w:rPr>
        <w:t>港口集疏运体系建设</w:t>
      </w:r>
      <w:bookmarkEnd w:id="1393"/>
      <w:bookmarkEnd w:id="1394"/>
      <w:bookmarkEnd w:id="1395"/>
      <w:bookmarkEnd w:id="1396"/>
      <w:bookmarkEnd w:id="1397"/>
      <w:bookmarkEnd w:id="1398"/>
      <w:bookmarkEnd w:id="1399"/>
      <w:bookmarkEnd w:id="140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构建便捷、高效、无缝衔接的货运集疏运通道。</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疏港铁路：升级大东港区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前阳、</w:t>
      </w:r>
      <w:proofErr w:type="gramStart"/>
      <w:r>
        <w:rPr>
          <w:rFonts w:ascii="Times New Roman" w:eastAsia="仿宋_GB2312" w:hAnsi="Times New Roman" w:cs="Times New Roman" w:hint="eastAsia"/>
          <w:sz w:val="32"/>
          <w:szCs w:val="32"/>
        </w:rPr>
        <w:t>前阳</w:t>
      </w:r>
      <w:proofErr w:type="gramEnd"/>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浪头港区疏港铁路；改造现有东沟站，作为港口庙沟分区车场；</w:t>
      </w:r>
      <w:proofErr w:type="gramStart"/>
      <w:r>
        <w:rPr>
          <w:rFonts w:ascii="Times New Roman" w:eastAsia="仿宋_GB2312" w:hAnsi="Times New Roman" w:cs="Times New Roman" w:hint="eastAsia"/>
          <w:sz w:val="32"/>
          <w:szCs w:val="32"/>
        </w:rPr>
        <w:t>前阳货运</w:t>
      </w:r>
      <w:proofErr w:type="gramEnd"/>
      <w:r>
        <w:rPr>
          <w:rFonts w:ascii="Times New Roman" w:eastAsia="仿宋_GB2312" w:hAnsi="Times New Roman" w:cs="Times New Roman" w:hint="eastAsia"/>
          <w:sz w:val="32"/>
          <w:szCs w:val="32"/>
        </w:rPr>
        <w:t>编组站作为货运枢纽；新建丹前线外移线路。</w:t>
      </w:r>
    </w:p>
    <w:p w:rsidR="00A765C5" w:rsidRDefault="00702EF7">
      <w:pPr>
        <w:pStyle w:val="0"/>
        <w:ind w:firstLine="640"/>
        <w:rPr>
          <w:rFonts w:eastAsia="仿宋_GB2312"/>
          <w:kern w:val="2"/>
          <w:sz w:val="32"/>
          <w:szCs w:val="32"/>
        </w:rPr>
        <w:sectPr w:rsidR="00A765C5">
          <w:pgSz w:w="11850" w:h="16783"/>
          <w:pgMar w:top="1440" w:right="1800" w:bottom="1440" w:left="1800" w:header="720" w:footer="720" w:gutter="0"/>
          <w:cols w:space="720"/>
          <w:docGrid w:type="lines" w:linePitch="312"/>
        </w:sectPr>
      </w:pPr>
      <w:r>
        <w:rPr>
          <w:rFonts w:eastAsia="仿宋_GB2312" w:hint="eastAsia"/>
          <w:sz w:val="32"/>
          <w:szCs w:val="32"/>
        </w:rPr>
        <w:t>疏港公路：构建疏港高速、疏港快速路、</w:t>
      </w:r>
      <w:proofErr w:type="gramStart"/>
      <w:r>
        <w:rPr>
          <w:rFonts w:eastAsia="仿宋_GB2312" w:hint="eastAsia"/>
          <w:sz w:val="32"/>
          <w:szCs w:val="32"/>
        </w:rPr>
        <w:t>前阳快速</w:t>
      </w:r>
      <w:proofErr w:type="gramEnd"/>
      <w:r>
        <w:rPr>
          <w:rFonts w:eastAsia="仿宋_GB2312" w:hint="eastAsia"/>
          <w:sz w:val="32"/>
          <w:szCs w:val="32"/>
        </w:rPr>
        <w:t>路</w:t>
      </w:r>
      <w:r>
        <w:rPr>
          <w:rFonts w:eastAsia="仿宋_GB2312" w:hint="eastAsia"/>
          <w:sz w:val="32"/>
          <w:szCs w:val="32"/>
        </w:rPr>
        <w:t>3</w:t>
      </w:r>
      <w:r>
        <w:rPr>
          <w:rFonts w:eastAsia="仿宋_GB2312" w:hint="eastAsia"/>
          <w:sz w:val="32"/>
          <w:szCs w:val="32"/>
        </w:rPr>
        <w:t>条</w:t>
      </w:r>
      <w:proofErr w:type="gramStart"/>
      <w:r>
        <w:rPr>
          <w:rFonts w:eastAsia="仿宋_GB2312" w:hint="eastAsia"/>
          <w:sz w:val="32"/>
          <w:szCs w:val="32"/>
        </w:rPr>
        <w:t>疏港主</w:t>
      </w:r>
      <w:proofErr w:type="gramEnd"/>
      <w:r>
        <w:rPr>
          <w:rFonts w:eastAsia="仿宋_GB2312" w:hint="eastAsia"/>
          <w:sz w:val="32"/>
          <w:szCs w:val="32"/>
        </w:rPr>
        <w:t>通道，衔接丹大高速。</w:t>
      </w: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1401" w:name="_Toc7201"/>
      <w:bookmarkStart w:id="1402" w:name="_Toc17536"/>
      <w:bookmarkStart w:id="1403" w:name="_Toc20689"/>
      <w:bookmarkStart w:id="1404" w:name="_Toc21043"/>
      <w:bookmarkStart w:id="1405" w:name="_Toc2012"/>
      <w:bookmarkStart w:id="1406" w:name="_Toc13885"/>
      <w:bookmarkStart w:id="1407" w:name="_Toc21350"/>
      <w:bookmarkStart w:id="1408" w:name="_Toc26177"/>
      <w:bookmarkStart w:id="1409" w:name="_Toc10700"/>
      <w:bookmarkStart w:id="1410" w:name="_Toc20405"/>
      <w:bookmarkStart w:id="1411" w:name="_Toc29419"/>
      <w:r>
        <w:rPr>
          <w:rFonts w:ascii="Times New Roman" w:eastAsia="方正小标宋_GBK" w:hAnsi="Times New Roman" w:cs="Times New Roman" w:hint="eastAsia"/>
          <w:b w:val="0"/>
          <w:sz w:val="36"/>
          <w:szCs w:val="36"/>
        </w:rPr>
        <w:lastRenderedPageBreak/>
        <w:t>保护自然历史</w:t>
      </w:r>
      <w:bookmarkEnd w:id="1401"/>
      <w:bookmarkEnd w:id="1402"/>
      <w:bookmarkEnd w:id="1403"/>
      <w:r>
        <w:rPr>
          <w:rFonts w:ascii="Times New Roman" w:eastAsia="方正小标宋_GBK" w:hAnsi="Times New Roman" w:cs="Times New Roman" w:hint="eastAsia"/>
          <w:b w:val="0"/>
          <w:sz w:val="36"/>
          <w:szCs w:val="36"/>
        </w:rPr>
        <w:t>遗产，彰显国土空间魅力</w:t>
      </w:r>
      <w:bookmarkEnd w:id="1404"/>
      <w:bookmarkEnd w:id="1405"/>
      <w:bookmarkEnd w:id="1406"/>
      <w:bookmarkEnd w:id="1407"/>
      <w:bookmarkEnd w:id="1408"/>
      <w:bookmarkEnd w:id="1409"/>
      <w:bookmarkEnd w:id="1410"/>
      <w:bookmarkEnd w:id="1411"/>
      <w:r>
        <w:rPr>
          <w:rFonts w:ascii="Times New Roman" w:eastAsia="方正小标宋_GBK" w:hAnsi="Times New Roman" w:cs="Times New Roman"/>
          <w:b w:val="0"/>
          <w:sz w:val="36"/>
          <w:szCs w:val="36"/>
        </w:rPr>
        <w:tab/>
      </w:r>
    </w:p>
    <w:p w:rsidR="00A765C5" w:rsidRDefault="00702EF7" w:rsidP="006B5E5D">
      <w:pPr>
        <w:pStyle w:val="2"/>
        <w:numPr>
          <w:ilvl w:val="0"/>
          <w:numId w:val="11"/>
        </w:numPr>
        <w:snapToGrid w:val="0"/>
        <w:spacing w:beforeLines="50" w:before="156" w:afterLines="50" w:after="156" w:line="600" w:lineRule="exact"/>
        <w:jc w:val="center"/>
        <w:rPr>
          <w:rFonts w:ascii="Times New Roman" w:eastAsia="黑体" w:hAnsi="Times New Roman"/>
          <w:b w:val="0"/>
          <w:bCs w:val="0"/>
          <w:sz w:val="32"/>
        </w:rPr>
      </w:pPr>
      <w:bookmarkStart w:id="1412" w:name="_Toc14268"/>
      <w:bookmarkStart w:id="1413" w:name="_Toc23390"/>
      <w:bookmarkStart w:id="1414" w:name="_Toc29227"/>
      <w:bookmarkStart w:id="1415" w:name="_Toc6428"/>
      <w:bookmarkStart w:id="1416" w:name="_Toc15176"/>
      <w:bookmarkStart w:id="1417" w:name="_Toc22782"/>
      <w:bookmarkStart w:id="1418" w:name="_Toc22395"/>
      <w:bookmarkStart w:id="1419" w:name="_Toc7907"/>
      <w:bookmarkStart w:id="1420" w:name="_Toc5075"/>
      <w:bookmarkStart w:id="1421" w:name="_Toc13783"/>
      <w:r>
        <w:rPr>
          <w:rFonts w:ascii="Times New Roman" w:eastAsia="黑体" w:hAnsi="Times New Roman" w:hint="eastAsia"/>
          <w:b w:val="0"/>
          <w:bCs w:val="0"/>
          <w:sz w:val="32"/>
        </w:rPr>
        <w:t>加强历史文化</w:t>
      </w:r>
      <w:bookmarkEnd w:id="1412"/>
      <w:bookmarkEnd w:id="1413"/>
      <w:bookmarkEnd w:id="1414"/>
      <w:r>
        <w:rPr>
          <w:rFonts w:ascii="Times New Roman" w:eastAsia="黑体" w:hAnsi="Times New Roman" w:hint="eastAsia"/>
          <w:b w:val="0"/>
          <w:bCs w:val="0"/>
          <w:sz w:val="32"/>
        </w:rPr>
        <w:t>体系保护</w:t>
      </w:r>
      <w:bookmarkEnd w:id="1415"/>
      <w:bookmarkEnd w:id="1416"/>
      <w:bookmarkEnd w:id="1417"/>
      <w:bookmarkEnd w:id="1418"/>
      <w:bookmarkEnd w:id="1419"/>
      <w:bookmarkEnd w:id="1420"/>
      <w:bookmarkEnd w:id="1421"/>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22" w:name="_Toc22516"/>
      <w:bookmarkStart w:id="1423" w:name="_Toc10783"/>
      <w:bookmarkStart w:id="1424" w:name="_Toc12446"/>
      <w:bookmarkStart w:id="1425" w:name="_Toc18862"/>
      <w:bookmarkStart w:id="1426" w:name="_Toc23519"/>
      <w:bookmarkStart w:id="1427" w:name="_Toc7382"/>
      <w:bookmarkStart w:id="1428" w:name="_Toc701"/>
      <w:bookmarkStart w:id="1429" w:name="_Toc20275"/>
      <w:r>
        <w:rPr>
          <w:rFonts w:ascii="Times New Roman" w:eastAsia="楷体_GB2312" w:hAnsi="Times New Roman" w:cs="Times New Roman" w:hint="eastAsia"/>
          <w:sz w:val="32"/>
          <w:szCs w:val="32"/>
        </w:rPr>
        <w:t>构建历史文化保护体系</w:t>
      </w:r>
      <w:bookmarkEnd w:id="1422"/>
      <w:bookmarkEnd w:id="1423"/>
      <w:bookmarkEnd w:id="1424"/>
      <w:bookmarkEnd w:id="1425"/>
      <w:bookmarkEnd w:id="1426"/>
      <w:bookmarkEnd w:id="1427"/>
      <w:bookmarkEnd w:id="1428"/>
      <w:bookmarkEnd w:id="142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传承与弘扬关于甲午海战、抗日战争、抗美援朝等重要历史时期的历史文化资源，做好对单体建筑、街巷街区、城镇格局、历史地段、地下文物、自然景观、人文环境、非物质文化遗产的全方位保护。构建国家文化公园、各级文物保护单位、历史文化名城名镇名村、历史文化街区和历史建筑、传统村落、非物质文化遗产等历史文化保护体系，夯实历史文化遗产保护空间基础。</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将各级文物保护单位、历史建筑、传统村落不可移动革命文物、非物质文化遗产等纳入保护名录，加快认定公布市县</w:t>
      </w:r>
      <w:proofErr w:type="gramStart"/>
      <w:r>
        <w:rPr>
          <w:rFonts w:ascii="Times New Roman" w:eastAsia="仿宋_GB2312" w:hAnsi="Times New Roman" w:cs="Times New Roman" w:hint="eastAsia"/>
          <w:sz w:val="32"/>
          <w:szCs w:val="32"/>
        </w:rPr>
        <w:t>级保护</w:t>
      </w:r>
      <w:proofErr w:type="gramEnd"/>
      <w:r>
        <w:rPr>
          <w:rFonts w:ascii="Times New Roman" w:eastAsia="仿宋_GB2312" w:hAnsi="Times New Roman" w:cs="Times New Roman" w:hint="eastAsia"/>
          <w:sz w:val="32"/>
          <w:szCs w:val="32"/>
        </w:rPr>
        <w:t>对象，做到城乡历史文化遗产应保尽保。参照《国土空间历史文化遗产保护规划编制指南》（</w:t>
      </w:r>
      <w:r>
        <w:rPr>
          <w:rFonts w:ascii="Times New Roman" w:eastAsia="仿宋_GB2312" w:hAnsi="Times New Roman" w:cs="Times New Roman" w:hint="eastAsia"/>
          <w:sz w:val="32"/>
          <w:szCs w:val="32"/>
        </w:rPr>
        <w:t>TD/T1090-2023</w:t>
      </w:r>
      <w:r>
        <w:rPr>
          <w:rFonts w:ascii="Times New Roman" w:eastAsia="仿宋_GB2312" w:hAnsi="Times New Roman" w:cs="Times New Roman" w:hint="eastAsia"/>
          <w:sz w:val="32"/>
          <w:szCs w:val="32"/>
        </w:rPr>
        <w:t>）统筹划定历史文化保护线，及时落实动态补划，将有关遗产本体及其环境保护管</w:t>
      </w:r>
      <w:proofErr w:type="gramStart"/>
      <w:r>
        <w:rPr>
          <w:rFonts w:ascii="Times New Roman" w:eastAsia="仿宋_GB2312" w:hAnsi="Times New Roman" w:cs="Times New Roman" w:hint="eastAsia"/>
          <w:sz w:val="32"/>
          <w:szCs w:val="32"/>
        </w:rPr>
        <w:t>控引导</w:t>
      </w:r>
      <w:proofErr w:type="gramEnd"/>
      <w:r>
        <w:rPr>
          <w:rFonts w:ascii="Times New Roman" w:eastAsia="仿宋_GB2312" w:hAnsi="Times New Roman" w:cs="Times New Roman" w:hint="eastAsia"/>
          <w:sz w:val="32"/>
          <w:szCs w:val="32"/>
        </w:rPr>
        <w:t>的空间信息纳入规划“一张图”系统。</w:t>
      </w:r>
      <w:r>
        <w:rPr>
          <w:rFonts w:ascii="Times New Roman" w:eastAsia="仿宋_GB2312" w:hAnsi="Times New Roman" w:cs="Times New Roman" w:hint="eastAsia"/>
          <w:kern w:val="0"/>
          <w:sz w:val="32"/>
          <w:szCs w:val="32"/>
          <w:shd w:val="clear" w:color="auto" w:fill="FFFFFF"/>
        </w:rPr>
        <w:t>在历史文化保护线范围内进行新建或者改建各类建筑物、构筑物和其他设施，对规划确定保护的建筑物、构筑物和其他设施进行修缮和维修以及改变建筑物、构筑物的使用性质，应当依照相关法律、法规的规定，办理相关手续后方可进行。</w:t>
      </w:r>
      <w:r>
        <w:rPr>
          <w:rFonts w:ascii="Times New Roman" w:eastAsia="仿宋_GB2312" w:hAnsi="Times New Roman" w:cs="Times New Roman" w:hint="eastAsia"/>
          <w:sz w:val="32"/>
          <w:szCs w:val="32"/>
        </w:rPr>
        <w:t>加强历史文化遗产与周边山水环境之间的整体保护，</w:t>
      </w:r>
      <w:r>
        <w:rPr>
          <w:rFonts w:ascii="Times New Roman" w:eastAsia="仿宋_GB2312" w:hAnsi="Times New Roman" w:cs="Times New Roman" w:hint="eastAsia"/>
          <w:sz w:val="32"/>
          <w:szCs w:val="32"/>
        </w:rPr>
        <w:lastRenderedPageBreak/>
        <w:t>与所在地域农业、生态空间之间的协同保护与涉及建设活动空间之间的协调。</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30" w:name="_Toc4099"/>
      <w:bookmarkStart w:id="1431" w:name="_Toc5556"/>
      <w:bookmarkStart w:id="1432" w:name="_Toc26439"/>
      <w:bookmarkStart w:id="1433" w:name="_Toc27295"/>
      <w:bookmarkStart w:id="1434" w:name="_Toc21594"/>
      <w:bookmarkStart w:id="1435" w:name="_Toc2177"/>
      <w:bookmarkStart w:id="1436" w:name="_Toc10724"/>
      <w:bookmarkStart w:id="1437" w:name="_Toc5712"/>
      <w:r>
        <w:rPr>
          <w:rFonts w:ascii="Times New Roman" w:eastAsia="楷体_GB2312" w:hAnsi="Times New Roman" w:cs="Times New Roman" w:hint="eastAsia"/>
          <w:sz w:val="32"/>
          <w:szCs w:val="32"/>
        </w:rPr>
        <w:t>完善历史文化保护格局</w:t>
      </w:r>
      <w:bookmarkEnd w:id="1430"/>
      <w:bookmarkEnd w:id="1431"/>
      <w:bookmarkEnd w:id="1432"/>
      <w:bookmarkEnd w:id="1433"/>
      <w:bookmarkEnd w:id="1434"/>
      <w:bookmarkEnd w:id="1435"/>
      <w:bookmarkEnd w:id="1436"/>
      <w:bookmarkEnd w:id="143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构建“两带四区多点”的历史文化保护格局，“两带”指边境历史文化保护带和长城历史文化保护带，“四区”指凤凰山历史文化保护区、丹东历史文化保护区、孤山历史文化保护区和</w:t>
      </w:r>
      <w:proofErr w:type="gramStart"/>
      <w:r>
        <w:rPr>
          <w:rFonts w:ascii="Times New Roman" w:eastAsia="仿宋_GB2312" w:hAnsi="Times New Roman" w:cs="Times New Roman" w:hint="eastAsia"/>
          <w:sz w:val="32"/>
          <w:szCs w:val="32"/>
        </w:rPr>
        <w:t>赫甸</w:t>
      </w:r>
      <w:proofErr w:type="gramEnd"/>
      <w:r>
        <w:rPr>
          <w:rFonts w:ascii="Times New Roman" w:eastAsia="仿宋_GB2312" w:hAnsi="Times New Roman" w:cs="Times New Roman" w:hint="eastAsia"/>
          <w:sz w:val="32"/>
          <w:szCs w:val="32"/>
        </w:rPr>
        <w:t>城历史文化保护区，“多点”指</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处国家级历史文化名镇、</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处国家级传统村落、</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处国家级文保单位、</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处国家级农业文化遗产、</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处省级历史文化名镇、</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处省级历史文化名村、</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处省级工业遗产，以及多处省、市级文保单位。</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38" w:name="_Toc559"/>
      <w:bookmarkStart w:id="1439" w:name="_Toc604"/>
      <w:bookmarkStart w:id="1440" w:name="_Toc11228"/>
      <w:bookmarkStart w:id="1441" w:name="_Toc1244"/>
      <w:bookmarkStart w:id="1442" w:name="_Toc29457"/>
      <w:bookmarkStart w:id="1443" w:name="_Toc9291"/>
      <w:bookmarkStart w:id="1444" w:name="_Toc28160"/>
      <w:bookmarkStart w:id="1445" w:name="_Toc25467"/>
      <w:r>
        <w:rPr>
          <w:rFonts w:ascii="Times New Roman" w:eastAsia="楷体_GB2312" w:hAnsi="Times New Roman" w:cs="Times New Roman" w:hint="eastAsia"/>
          <w:sz w:val="32"/>
          <w:szCs w:val="32"/>
        </w:rPr>
        <w:t>明确历史文化保护对象与要求</w:t>
      </w:r>
      <w:bookmarkEnd w:id="1438"/>
      <w:bookmarkEnd w:id="1439"/>
      <w:bookmarkEnd w:id="1440"/>
      <w:bookmarkEnd w:id="1441"/>
      <w:bookmarkEnd w:id="1442"/>
      <w:bookmarkEnd w:id="1443"/>
      <w:bookmarkEnd w:id="1444"/>
      <w:bookmarkEnd w:id="144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国家文化公园保护：落实长城国家文化公园（辽宁段）建设要求，以宽甸虎山长城为重点，严格保护长城文物本体，加强长城物质文化遗产及沿线生态景观、历史遗存、传统文化、城乡传统风貌等的整体性保护。</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文物保护单位保护：在文保单位的保护范围内，遵循“不改变文物原状”的保护原则，禁止新建任何与文物古迹无关的建设项目，不得改变和破坏历史上形成的格局和风貌，任何为文物保护单位本身的修复、配套而进行的建设工程，必须经文物和规划部门审核、批准后才能进行。对于未落实保护范围和建设控制地带的文物保护单位，应尽快划定保护范</w:t>
      </w:r>
      <w:r>
        <w:rPr>
          <w:rFonts w:ascii="Times New Roman" w:eastAsia="仿宋_GB2312" w:hAnsi="Times New Roman" w:cs="Times New Roman" w:hint="eastAsia"/>
          <w:sz w:val="32"/>
          <w:szCs w:val="32"/>
        </w:rPr>
        <w:lastRenderedPageBreak/>
        <w:t>围和建设控制地带，明确保护责任。继续加强市域范围内的文物普查、登记不可移动文物工作。</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历史建筑保护：对于历史建筑的维修和整治，必须保持原有外形和风貌，保护范围内的各项建设不得影响历史建筑风貌的展示。城乡建设中涉及考古发掘工作的，必须依法履行报批手续，严格执行文物发掘与保护管理的有关规定，防止建设性破坏。</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红色资源保护：加强对日俄战争、中日甲午海战、东北抗联、解放战争和抗美援朝战争遗迹等红色资源的保护利用，深度挖掘“抗美援朝出征地”的丰富内涵和时代价值，加强抗美援朝时期纪念建筑及其他优秀近现代建筑的普查和保护利用。坚持确保红色资源的安全性和不破坏红色资源历史风貌的原则，推动合理利用红色资源。推动红色资源保护利用立法工作。</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历史文化名城名镇名村、传统村落保护：重点保护国家级历史文化名镇孤山镇和省级历史文化名镇爱阳镇，重点保护现存的</w:t>
      </w:r>
      <w:proofErr w:type="gramStart"/>
      <w:r>
        <w:rPr>
          <w:rFonts w:ascii="Times New Roman" w:eastAsia="仿宋_GB2312" w:hAnsi="Times New Roman" w:cs="Times New Roman" w:hint="eastAsia"/>
          <w:sz w:val="32"/>
          <w:szCs w:val="32"/>
        </w:rPr>
        <w:t>闫</w:t>
      </w:r>
      <w:proofErr w:type="gramEnd"/>
      <w:r>
        <w:rPr>
          <w:rFonts w:ascii="Times New Roman" w:eastAsia="仿宋_GB2312" w:hAnsi="Times New Roman" w:cs="Times New Roman" w:hint="eastAsia"/>
          <w:sz w:val="32"/>
          <w:szCs w:val="32"/>
        </w:rPr>
        <w:t>坨子遗址、孤山山城等文物保护单位</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以及保存完好的大孤山古建筑群，注重对古镇格局及古镇周边自然景观的保护。强化对国家级传统村落长</w:t>
      </w:r>
      <w:proofErr w:type="gramStart"/>
      <w:r>
        <w:rPr>
          <w:rFonts w:ascii="Times New Roman" w:eastAsia="仿宋_GB2312" w:hAnsi="Times New Roman" w:cs="Times New Roman" w:hint="eastAsia"/>
          <w:sz w:val="32"/>
          <w:szCs w:val="32"/>
        </w:rPr>
        <w:t>甸</w:t>
      </w:r>
      <w:proofErr w:type="gramEnd"/>
      <w:r>
        <w:rPr>
          <w:rFonts w:ascii="Times New Roman" w:eastAsia="仿宋_GB2312" w:hAnsi="Times New Roman" w:cs="Times New Roman" w:hint="eastAsia"/>
          <w:sz w:val="32"/>
          <w:szCs w:val="32"/>
        </w:rPr>
        <w:t>镇河口村、</w:t>
      </w:r>
      <w:proofErr w:type="gramStart"/>
      <w:r>
        <w:rPr>
          <w:rFonts w:ascii="Times New Roman" w:eastAsia="仿宋_GB2312" w:hAnsi="Times New Roman" w:cs="Times New Roman" w:hint="eastAsia"/>
          <w:sz w:val="32"/>
          <w:szCs w:val="32"/>
        </w:rPr>
        <w:t>下露河朝鲜族</w:t>
      </w:r>
      <w:proofErr w:type="gramEnd"/>
      <w:r>
        <w:rPr>
          <w:rFonts w:ascii="Times New Roman" w:eastAsia="仿宋_GB2312" w:hAnsi="Times New Roman" w:cs="Times New Roman" w:hint="eastAsia"/>
          <w:sz w:val="32"/>
          <w:szCs w:val="32"/>
        </w:rPr>
        <w:t>乡通江村和</w:t>
      </w:r>
      <w:proofErr w:type="gramStart"/>
      <w:r>
        <w:rPr>
          <w:rFonts w:ascii="Times New Roman" w:eastAsia="仿宋_GB2312" w:hAnsi="Times New Roman" w:cs="Times New Roman" w:hint="eastAsia"/>
          <w:sz w:val="32"/>
          <w:szCs w:val="32"/>
        </w:rPr>
        <w:t>孤山</w:t>
      </w:r>
      <w:proofErr w:type="gramEnd"/>
      <w:r>
        <w:rPr>
          <w:rFonts w:ascii="Times New Roman" w:eastAsia="仿宋_GB2312" w:hAnsi="Times New Roman" w:cs="Times New Roman" w:hint="eastAsia"/>
          <w:sz w:val="32"/>
          <w:szCs w:val="32"/>
        </w:rPr>
        <w:t>镇东大于村的整体保护，保持传统格局、历史风貌和空间尺度，以及与其相互依存的自然景观和环境。支持对古村落的普查工作，保存较完好的古村落应编制保护规划。</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工业遗产保护：严格保护已经认定的丹东塔醋生产区省级工业遗产，确保遗产格局、结构、样式、风貌特征、核心物项不被破坏。</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地下文物埋藏区：对文物主管部门核定可能存在历史文化遗存的土地，实行“先考古，后出让”制度。</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其他文物与历史遗存保护：保护碑刻、古建筑、古遗址等历史遗迹，加强</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座高句丽山城的整体保护，支持以凤凰山山城为代表的高句丽山城积极申报世界遗产地。妥善保护和利用具有重要文化和历史价值的工业遗址。加强宽甸</w:t>
      </w:r>
      <w:proofErr w:type="gramStart"/>
      <w:r>
        <w:rPr>
          <w:rFonts w:ascii="Times New Roman" w:eastAsia="仿宋_GB2312" w:hAnsi="Times New Roman" w:cs="Times New Roman" w:hint="eastAsia"/>
          <w:sz w:val="32"/>
          <w:szCs w:val="32"/>
        </w:rPr>
        <w:t>柱参传统</w:t>
      </w:r>
      <w:proofErr w:type="gramEnd"/>
      <w:r>
        <w:rPr>
          <w:rFonts w:ascii="Times New Roman" w:eastAsia="仿宋_GB2312" w:hAnsi="Times New Roman" w:cs="Times New Roman" w:hint="eastAsia"/>
          <w:sz w:val="32"/>
          <w:szCs w:val="32"/>
        </w:rPr>
        <w:t>栽培体系等中国重要农业文化遗产保护。</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非物质文化遗产保护：应继续挖掘、继承和发扬传统文化精髓，促进文化生活繁荣，加强相关文化设施建设；积极保护丹东鼓乐、丹东朝鲜族花甲礼（寿礼）、丹东单鼓、宽甸八河川皮影戏、丹东上打家什高跷、凤城满族荷包、凤城老窖酒酿造技艺、凤城满族珍珠球、孤山泥塑等传统技艺。</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46" w:name="_Toc11881"/>
      <w:bookmarkStart w:id="1447" w:name="_Toc10959"/>
      <w:bookmarkStart w:id="1448" w:name="_Toc6112"/>
      <w:bookmarkStart w:id="1449" w:name="_Toc16412"/>
      <w:bookmarkStart w:id="1450" w:name="_Toc20441"/>
      <w:bookmarkStart w:id="1451" w:name="_Toc26002"/>
      <w:bookmarkStart w:id="1452" w:name="_Toc18342"/>
      <w:bookmarkStart w:id="1453" w:name="_Toc7171"/>
      <w:bookmarkStart w:id="1454" w:name="_Toc8644"/>
      <w:bookmarkStart w:id="1455" w:name="_Toc28948"/>
      <w:bookmarkStart w:id="1456" w:name="_Toc1944"/>
      <w:r>
        <w:rPr>
          <w:rFonts w:ascii="Times New Roman" w:eastAsia="楷体_GB2312" w:hAnsi="Times New Roman" w:cs="Times New Roman" w:hint="eastAsia"/>
          <w:sz w:val="32"/>
          <w:szCs w:val="32"/>
        </w:rPr>
        <w:t>中心城区历史文化保护和传承</w:t>
      </w:r>
      <w:bookmarkEnd w:id="1446"/>
      <w:bookmarkEnd w:id="1447"/>
      <w:bookmarkEnd w:id="1448"/>
      <w:bookmarkEnd w:id="1449"/>
      <w:bookmarkEnd w:id="1450"/>
      <w:bookmarkEnd w:id="1451"/>
      <w:bookmarkEnd w:id="1452"/>
      <w:bookmarkEnd w:id="1453"/>
      <w:bookmarkEnd w:id="1454"/>
      <w:bookmarkEnd w:id="1455"/>
      <w:bookmarkEnd w:id="145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历史文化资源富集区域：保护老城站前区域整体空间格局、肌理和景观特征，新建、扩建、改建建筑时，在高度、体量、色彩、材料等方面与历史风貌协调，同时控制区域</w:t>
      </w:r>
      <w:proofErr w:type="gramStart"/>
      <w:r>
        <w:rPr>
          <w:rFonts w:ascii="Times New Roman" w:eastAsia="仿宋_GB2312" w:hAnsi="Times New Roman" w:cs="Times New Roman" w:hint="eastAsia"/>
          <w:sz w:val="32"/>
          <w:szCs w:val="32"/>
        </w:rPr>
        <w:t>景观视廊视域</w:t>
      </w:r>
      <w:proofErr w:type="gramEnd"/>
      <w:r>
        <w:rPr>
          <w:rFonts w:ascii="Times New Roman" w:eastAsia="仿宋_GB2312" w:hAnsi="Times New Roman" w:cs="Times New Roman" w:hint="eastAsia"/>
          <w:sz w:val="32"/>
          <w:szCs w:val="32"/>
        </w:rPr>
        <w:t>范围内建筑高度、风貌，</w:t>
      </w:r>
      <w:proofErr w:type="gramStart"/>
      <w:r>
        <w:rPr>
          <w:rFonts w:ascii="Times New Roman" w:eastAsia="仿宋_GB2312" w:hAnsi="Times New Roman" w:cs="Times New Roman" w:hint="eastAsia"/>
          <w:sz w:val="32"/>
          <w:szCs w:val="32"/>
        </w:rPr>
        <w:t>保证视廊的</w:t>
      </w:r>
      <w:proofErr w:type="gramEnd"/>
      <w:r>
        <w:rPr>
          <w:rFonts w:ascii="Times New Roman" w:eastAsia="仿宋_GB2312" w:hAnsi="Times New Roman" w:cs="Times New Roman" w:hint="eastAsia"/>
          <w:sz w:val="32"/>
          <w:szCs w:val="32"/>
        </w:rPr>
        <w:t>通畅、视域内环境风貌的协调。以“突出城市历史特色”为基本原则，对重点街道进行沿街立面改造，活化利用历史风貌区，保持</w:t>
      </w:r>
      <w:r>
        <w:rPr>
          <w:rFonts w:ascii="Times New Roman" w:eastAsia="仿宋_GB2312" w:hAnsi="Times New Roman" w:cs="Times New Roman" w:hint="eastAsia"/>
          <w:sz w:val="32"/>
          <w:szCs w:val="32"/>
        </w:rPr>
        <w:lastRenderedPageBreak/>
        <w:t>文物环境的历史真实性和风貌完整性，打造可参观体验的历史遗产。</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文物保护单位和历史建筑：规划对文物保护单位和历史建筑采用二级保护，即划定保护范围和建设控制地带。在文物保护单位的保护范围和建设控制地带内，不得建设污染文物保护单位及其环境的设施，不得进行可能影响文物保护单位安全及其环境的活动；对已有的污染文物保护单位及其环境的设施，应限期治理。</w:t>
      </w:r>
    </w:p>
    <w:p w:rsidR="00A765C5" w:rsidRDefault="00702EF7" w:rsidP="006B5E5D">
      <w:pPr>
        <w:pStyle w:val="2"/>
        <w:numPr>
          <w:ilvl w:val="0"/>
          <w:numId w:val="11"/>
        </w:numPr>
        <w:snapToGrid w:val="0"/>
        <w:spacing w:beforeLines="50" w:before="156" w:afterLines="50" w:after="156" w:line="600" w:lineRule="exact"/>
        <w:jc w:val="center"/>
        <w:rPr>
          <w:rFonts w:ascii="Times New Roman" w:eastAsia="黑体" w:hAnsi="Times New Roman"/>
          <w:b w:val="0"/>
          <w:bCs w:val="0"/>
          <w:sz w:val="32"/>
        </w:rPr>
      </w:pPr>
      <w:bookmarkStart w:id="1457" w:name="_Toc345"/>
      <w:bookmarkStart w:id="1458" w:name="_Toc2642"/>
      <w:bookmarkStart w:id="1459" w:name="_Toc21481"/>
      <w:bookmarkStart w:id="1460" w:name="_Toc11286"/>
      <w:bookmarkStart w:id="1461" w:name="_Toc7215"/>
      <w:bookmarkStart w:id="1462" w:name="_Toc6179"/>
      <w:bookmarkStart w:id="1463" w:name="_Toc24376"/>
      <w:r>
        <w:rPr>
          <w:rFonts w:ascii="Times New Roman" w:eastAsia="黑体" w:hAnsi="Times New Roman" w:hint="eastAsia"/>
          <w:b w:val="0"/>
          <w:bCs w:val="0"/>
          <w:sz w:val="32"/>
        </w:rPr>
        <w:t>系统活化利用文化与自然景观</w:t>
      </w:r>
      <w:bookmarkEnd w:id="1457"/>
      <w:bookmarkEnd w:id="1458"/>
      <w:bookmarkEnd w:id="1459"/>
      <w:bookmarkEnd w:id="1460"/>
      <w:bookmarkEnd w:id="1461"/>
      <w:bookmarkEnd w:id="1462"/>
      <w:bookmarkEnd w:id="1463"/>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64" w:name="_Toc29214"/>
      <w:bookmarkStart w:id="1465" w:name="_Toc9582"/>
      <w:bookmarkStart w:id="1466" w:name="_Toc13974"/>
      <w:bookmarkStart w:id="1467" w:name="_Toc106"/>
      <w:bookmarkStart w:id="1468" w:name="_Toc18154"/>
      <w:bookmarkStart w:id="1469" w:name="_Toc27340"/>
      <w:bookmarkStart w:id="1470" w:name="_Toc24839"/>
      <w:bookmarkStart w:id="1471" w:name="_Toc10938"/>
      <w:r>
        <w:rPr>
          <w:rFonts w:ascii="Times New Roman" w:eastAsia="楷体_GB2312" w:hAnsi="Times New Roman" w:cs="Times New Roman" w:hint="eastAsia"/>
          <w:sz w:val="32"/>
          <w:szCs w:val="32"/>
        </w:rPr>
        <w:t>塑造全域魅力空间总体格局</w:t>
      </w:r>
      <w:bookmarkEnd w:id="1464"/>
      <w:bookmarkEnd w:id="1465"/>
      <w:bookmarkEnd w:id="1466"/>
      <w:bookmarkEnd w:id="1467"/>
      <w:bookmarkEnd w:id="1468"/>
      <w:bookmarkEnd w:id="1469"/>
      <w:bookmarkEnd w:id="1470"/>
      <w:bookmarkEnd w:id="147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彰显精致、生态、宜居的城市特色，构建“三带八区”魅力空间格局。依托沈丹铁路（中东铁路丹东支线），展现近现代工业文明，集中展示工业遗产保护与利用，打造沈丹铁路工业景观带。落实长城国家文化公园（辽宁段）建设要求，南起虎山，北至宽甸与本溪交界处，建设东北亚边疆历史文化博物馆、“宽甸六堡”展览馆、明长城遗址沿线国家风景道等重点项目，打造体现长城边塞文化、多元民族融合的长城民族文化魅力景观带。依托滨江沿海的自然景观特色，彰显海洋文化和滨海城市魅力，打造沿江沿海生态魅力景观带。依托</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片自然景观与历史文化资源富集区，打造各具特色的旅游休闲魅力片区。</w:t>
      </w:r>
    </w:p>
    <w:p w:rsidR="00A765C5" w:rsidRDefault="00A765C5">
      <w:pPr>
        <w:snapToGrid w:val="0"/>
        <w:spacing w:line="600" w:lineRule="exact"/>
        <w:ind w:firstLineChars="200" w:firstLine="640"/>
        <w:rPr>
          <w:rFonts w:ascii="Times New Roman" w:eastAsia="仿宋_GB2312" w:hAnsi="Times New Roman" w:cs="Times New Roman"/>
          <w:sz w:val="32"/>
          <w:szCs w:val="32"/>
        </w:rPr>
      </w:pPr>
    </w:p>
    <w:tbl>
      <w:tblPr>
        <w:tblW w:w="8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6"/>
      </w:tblGrid>
      <w:tr w:rsidR="00A765C5">
        <w:trPr>
          <w:trHeight w:val="90"/>
        </w:trPr>
        <w:tc>
          <w:tcPr>
            <w:tcW w:w="8466" w:type="dxa"/>
            <w:noWrap/>
          </w:tcPr>
          <w:p w:rsidR="00A765C5" w:rsidRDefault="00702EF7">
            <w:pPr>
              <w:pStyle w:val="0"/>
              <w:numPr>
                <w:ilvl w:val="0"/>
                <w:numId w:val="7"/>
              </w:numPr>
              <w:spacing w:after="120" w:line="500" w:lineRule="exact"/>
              <w:ind w:firstLineChars="0" w:firstLine="0"/>
              <w:jc w:val="center"/>
              <w:rPr>
                <w:rFonts w:eastAsia="仿宋"/>
                <w:kern w:val="2"/>
                <w:sz w:val="32"/>
                <w:szCs w:val="32"/>
              </w:rPr>
            </w:pPr>
            <w:r>
              <w:rPr>
                <w:rFonts w:eastAsia="黑体" w:hint="eastAsia"/>
                <w:kern w:val="2"/>
                <w:sz w:val="30"/>
                <w:szCs w:val="30"/>
              </w:rPr>
              <w:lastRenderedPageBreak/>
              <w:t>魅力片区</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jc w:val="both"/>
              <w:rPr>
                <w:rFonts w:ascii="Times New Roman" w:eastAsia="仿宋_GB2312" w:hAnsi="Times New Roman"/>
                <w:szCs w:val="24"/>
              </w:rPr>
            </w:pPr>
            <w:r>
              <w:rPr>
                <w:rFonts w:ascii="Times New Roman" w:eastAsia="仿宋_GB2312" w:hAnsi="Times New Roman" w:hint="eastAsia"/>
                <w:szCs w:val="24"/>
              </w:rPr>
              <w:t>鸭绿江北段生态民俗魅力片区：主要包括振江镇、长</w:t>
            </w:r>
            <w:proofErr w:type="gramStart"/>
            <w:r>
              <w:rPr>
                <w:rFonts w:ascii="Times New Roman" w:eastAsia="仿宋_GB2312" w:hAnsi="Times New Roman" w:hint="eastAsia"/>
                <w:szCs w:val="24"/>
              </w:rPr>
              <w:t>甸</w:t>
            </w:r>
            <w:proofErr w:type="gramEnd"/>
            <w:r>
              <w:rPr>
                <w:rFonts w:ascii="Times New Roman" w:eastAsia="仿宋_GB2312" w:hAnsi="Times New Roman" w:hint="eastAsia"/>
                <w:szCs w:val="24"/>
              </w:rPr>
              <w:t>镇等宽</w:t>
            </w:r>
            <w:proofErr w:type="gramStart"/>
            <w:r>
              <w:rPr>
                <w:rFonts w:ascii="Times New Roman" w:eastAsia="仿宋_GB2312" w:hAnsi="Times New Roman" w:hint="eastAsia"/>
                <w:szCs w:val="24"/>
              </w:rPr>
              <w:t>甸</w:t>
            </w:r>
            <w:proofErr w:type="gramEnd"/>
            <w:r>
              <w:rPr>
                <w:rFonts w:ascii="Times New Roman" w:eastAsia="仿宋_GB2312" w:hAnsi="Times New Roman" w:hint="eastAsia"/>
                <w:szCs w:val="24"/>
              </w:rPr>
              <w:t>东部鸭绿江沿线地区乡镇。依托原生态良好的田园风光、秀美的山水资源、边境风情，打造以辽东民俗文化为主，以生态、民俗、乡村旅游为辅的特色魅力片区。</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jc w:val="both"/>
              <w:rPr>
                <w:rFonts w:ascii="Times New Roman" w:eastAsia="仿宋_GB2312" w:hAnsi="Times New Roman"/>
                <w:szCs w:val="24"/>
              </w:rPr>
            </w:pPr>
            <w:r>
              <w:rPr>
                <w:rFonts w:ascii="Times New Roman" w:eastAsia="仿宋_GB2312" w:hAnsi="Times New Roman" w:hint="eastAsia"/>
                <w:szCs w:val="24"/>
              </w:rPr>
              <w:t>青山沟浑江旅游魅力片区：主要包括青山沟镇、步达远镇等宽</w:t>
            </w:r>
            <w:proofErr w:type="gramStart"/>
            <w:r>
              <w:rPr>
                <w:rFonts w:ascii="Times New Roman" w:eastAsia="仿宋_GB2312" w:hAnsi="Times New Roman" w:hint="eastAsia"/>
                <w:szCs w:val="24"/>
              </w:rPr>
              <w:t>甸</w:t>
            </w:r>
            <w:proofErr w:type="gramEnd"/>
            <w:r>
              <w:rPr>
                <w:rFonts w:ascii="Times New Roman" w:eastAsia="仿宋_GB2312" w:hAnsi="Times New Roman" w:hint="eastAsia"/>
                <w:szCs w:val="24"/>
              </w:rPr>
              <w:t>北部青山沟周边乡镇。依托原生态资源，发展休闲度假类的中、高端旅游产品。</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jc w:val="both"/>
              <w:rPr>
                <w:rFonts w:ascii="Times New Roman" w:eastAsia="仿宋_GB2312" w:hAnsi="Times New Roman"/>
                <w:szCs w:val="24"/>
              </w:rPr>
            </w:pPr>
            <w:r>
              <w:rPr>
                <w:rFonts w:ascii="Times New Roman" w:eastAsia="仿宋_GB2312" w:hAnsi="Times New Roman" w:hint="eastAsia"/>
                <w:szCs w:val="24"/>
              </w:rPr>
              <w:t>环宽甸满族自治县城魅力片区：主要包括宽甸满族自治县城以及大川头镇、石湖沟乡等宽</w:t>
            </w:r>
            <w:proofErr w:type="gramStart"/>
            <w:r>
              <w:rPr>
                <w:rFonts w:ascii="Times New Roman" w:eastAsia="仿宋_GB2312" w:hAnsi="Times New Roman" w:hint="eastAsia"/>
                <w:szCs w:val="24"/>
              </w:rPr>
              <w:t>甸</w:t>
            </w:r>
            <w:proofErr w:type="gramEnd"/>
            <w:r>
              <w:rPr>
                <w:rFonts w:ascii="Times New Roman" w:eastAsia="仿宋_GB2312" w:hAnsi="Times New Roman" w:hint="eastAsia"/>
                <w:szCs w:val="24"/>
              </w:rPr>
              <w:t>满族自治县城周边乡镇。依托山水特色及满族文化，形成</w:t>
            </w:r>
            <w:proofErr w:type="gramStart"/>
            <w:r>
              <w:rPr>
                <w:rFonts w:ascii="Times New Roman" w:eastAsia="仿宋_GB2312" w:hAnsi="Times New Roman" w:hint="eastAsia"/>
                <w:szCs w:val="24"/>
              </w:rPr>
              <w:t>特色满乡山水</w:t>
            </w:r>
            <w:proofErr w:type="gramEnd"/>
            <w:r>
              <w:rPr>
                <w:rFonts w:ascii="Times New Roman" w:eastAsia="仿宋_GB2312" w:hAnsi="Times New Roman" w:hint="eastAsia"/>
                <w:szCs w:val="24"/>
              </w:rPr>
              <w:t>魅力片区。</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jc w:val="both"/>
              <w:rPr>
                <w:rFonts w:ascii="Times New Roman" w:eastAsia="仿宋_GB2312" w:hAnsi="Times New Roman"/>
                <w:szCs w:val="24"/>
              </w:rPr>
            </w:pPr>
            <w:r>
              <w:rPr>
                <w:rFonts w:ascii="Times New Roman" w:eastAsia="仿宋_GB2312" w:hAnsi="Times New Roman" w:hint="eastAsia"/>
                <w:szCs w:val="24"/>
              </w:rPr>
              <w:t>北部山水魅力片区：主要包括八河川镇、双山子镇等宽</w:t>
            </w:r>
            <w:proofErr w:type="gramStart"/>
            <w:r>
              <w:rPr>
                <w:rFonts w:ascii="Times New Roman" w:eastAsia="仿宋_GB2312" w:hAnsi="Times New Roman" w:hint="eastAsia"/>
                <w:szCs w:val="24"/>
              </w:rPr>
              <w:t>甸</w:t>
            </w:r>
            <w:proofErr w:type="gramEnd"/>
            <w:r>
              <w:rPr>
                <w:rFonts w:ascii="Times New Roman" w:eastAsia="仿宋_GB2312" w:hAnsi="Times New Roman" w:hint="eastAsia"/>
                <w:szCs w:val="24"/>
              </w:rPr>
              <w:t>西部乡镇。依托山岳型旅游资源，打造以生态旅游、探险旅游、摄影科考等专项旅游为主的特色魅力片区。</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rPr>
                <w:rFonts w:ascii="Times New Roman" w:eastAsia="仿宋_GB2312" w:hAnsi="Times New Roman"/>
                <w:szCs w:val="24"/>
              </w:rPr>
            </w:pPr>
            <w:r>
              <w:rPr>
                <w:rFonts w:ascii="Times New Roman" w:eastAsia="仿宋_GB2312" w:hAnsi="Times New Roman" w:hint="eastAsia"/>
                <w:szCs w:val="24"/>
              </w:rPr>
              <w:t>近郊休闲魅力片区：主要包括丹东中心城区以及五龙背镇、汤池镇等中心城区周边乡镇。依托鸭绿江风景名胜区的城市段，打造以鸭绿江流域历史文化、边境旅游、赴朝旅游门户为主的特色魅力片区。突出乡镇临近市区的区位优势，以及低山、水库、温泉等资源的良好组合，成为城市休闲游憩圈的重要组成。</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rPr>
                <w:rFonts w:ascii="Times New Roman" w:eastAsia="仿宋_GB2312" w:hAnsi="Times New Roman"/>
                <w:szCs w:val="24"/>
              </w:rPr>
            </w:pPr>
            <w:r>
              <w:rPr>
                <w:rFonts w:ascii="Times New Roman" w:eastAsia="仿宋_GB2312" w:hAnsi="Times New Roman" w:hint="eastAsia"/>
                <w:szCs w:val="24"/>
              </w:rPr>
              <w:t>凤凰山魅力片区：主要包括</w:t>
            </w:r>
            <w:proofErr w:type="gramStart"/>
            <w:r>
              <w:rPr>
                <w:rFonts w:ascii="Times New Roman" w:eastAsia="仿宋_GB2312" w:hAnsi="Times New Roman" w:hint="eastAsia"/>
                <w:szCs w:val="24"/>
              </w:rPr>
              <w:t>凤</w:t>
            </w:r>
            <w:proofErr w:type="gramEnd"/>
            <w:r>
              <w:rPr>
                <w:rFonts w:ascii="Times New Roman" w:eastAsia="仿宋_GB2312" w:hAnsi="Times New Roman" w:hint="eastAsia"/>
                <w:szCs w:val="24"/>
              </w:rPr>
              <w:t>城市中心城区以及鸡冠山镇、边门</w:t>
            </w:r>
            <w:proofErr w:type="gramStart"/>
            <w:r>
              <w:rPr>
                <w:rFonts w:ascii="Times New Roman" w:eastAsia="仿宋_GB2312" w:hAnsi="Times New Roman" w:hint="eastAsia"/>
                <w:szCs w:val="24"/>
              </w:rPr>
              <w:t>镇等凤城市</w:t>
            </w:r>
            <w:proofErr w:type="gramEnd"/>
            <w:r>
              <w:rPr>
                <w:rFonts w:ascii="Times New Roman" w:eastAsia="仿宋_GB2312" w:hAnsi="Times New Roman" w:hint="eastAsia"/>
                <w:szCs w:val="24"/>
              </w:rPr>
              <w:t>中部乡镇。以凤凰山为核心资源，辅以多元的历史人文与自然景观资源，主要打造农业特色，开发山乡主题深度休闲旅游的特色魅力片区。</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rPr>
                <w:rFonts w:ascii="Times New Roman" w:eastAsia="仿宋_GB2312" w:hAnsi="Times New Roman"/>
                <w:szCs w:val="24"/>
              </w:rPr>
            </w:pPr>
            <w:r>
              <w:rPr>
                <w:rFonts w:ascii="Times New Roman" w:eastAsia="仿宋_GB2312" w:hAnsi="Times New Roman" w:hint="eastAsia"/>
                <w:szCs w:val="24"/>
              </w:rPr>
              <w:t>西南森林湿地魅力片区：主要包括东港市滨海乡镇以及红旗镇、</w:t>
            </w:r>
            <w:proofErr w:type="gramStart"/>
            <w:r>
              <w:rPr>
                <w:rFonts w:ascii="Times New Roman" w:eastAsia="仿宋_GB2312" w:hAnsi="Times New Roman" w:hint="eastAsia"/>
                <w:szCs w:val="24"/>
              </w:rPr>
              <w:t>沙里寨镇等凤城市</w:t>
            </w:r>
            <w:proofErr w:type="gramEnd"/>
            <w:r>
              <w:rPr>
                <w:rFonts w:ascii="Times New Roman" w:eastAsia="仿宋_GB2312" w:hAnsi="Times New Roman" w:hint="eastAsia"/>
                <w:szCs w:val="24"/>
              </w:rPr>
              <w:t>南部乡镇。位于陆地、森林、滩涂、海洋生态系统交汇处，形成芦苇湿地、沼泽、滩涂、潮汐、河口湾、森林等多种景观资源，开发渔俗主题滨海休闲度假、湿地与森林自然探险体验类产品，打造以生态旅游、科考旅游、观鸟旅游、观潮旅游等专项旅游体验为主的特色魅力片区。</w:t>
            </w:r>
          </w:p>
        </w:tc>
      </w:tr>
      <w:tr w:rsidR="00A765C5">
        <w:trPr>
          <w:trHeight w:val="90"/>
        </w:trPr>
        <w:tc>
          <w:tcPr>
            <w:tcW w:w="8466" w:type="dxa"/>
            <w:noWrap/>
            <w:vAlign w:val="center"/>
          </w:tcPr>
          <w:p w:rsidR="00A765C5" w:rsidRDefault="00702EF7">
            <w:pPr>
              <w:pStyle w:val="a7"/>
              <w:widowControl/>
              <w:spacing w:before="0" w:beforeAutospacing="0" w:after="0" w:afterAutospacing="0" w:line="400" w:lineRule="exact"/>
              <w:ind w:firstLineChars="200" w:firstLine="480"/>
              <w:rPr>
                <w:rFonts w:ascii="Times New Roman" w:eastAsia="仿宋_GB2312" w:hAnsi="Times New Roman"/>
                <w:szCs w:val="24"/>
              </w:rPr>
            </w:pPr>
            <w:r>
              <w:rPr>
                <w:rFonts w:ascii="Times New Roman" w:eastAsia="仿宋_GB2312" w:hAnsi="Times New Roman" w:hint="eastAsia"/>
                <w:szCs w:val="24"/>
              </w:rPr>
              <w:t>孤山魅力片区：主要包</w:t>
            </w:r>
            <w:proofErr w:type="gramStart"/>
            <w:r>
              <w:rPr>
                <w:rFonts w:ascii="Times New Roman" w:eastAsia="仿宋_GB2312" w:hAnsi="Times New Roman" w:hint="eastAsia"/>
                <w:szCs w:val="24"/>
              </w:rPr>
              <w:t>括孤</w:t>
            </w:r>
            <w:proofErr w:type="gramEnd"/>
            <w:r>
              <w:rPr>
                <w:rFonts w:ascii="Times New Roman" w:eastAsia="仿宋_GB2312" w:hAnsi="Times New Roman" w:hint="eastAsia"/>
                <w:szCs w:val="24"/>
              </w:rPr>
              <w:t>山镇以及周边乡镇。以国家历史文化名镇孤山镇为载体，突出古城文化内涵，体现山</w:t>
            </w:r>
            <w:r>
              <w:rPr>
                <w:rFonts w:ascii="Times New Roman" w:eastAsia="仿宋_GB2312" w:hAnsi="Times New Roman" w:hint="eastAsia"/>
                <w:szCs w:val="24"/>
              </w:rPr>
              <w:t>-</w:t>
            </w:r>
            <w:r>
              <w:rPr>
                <w:rFonts w:ascii="Times New Roman" w:eastAsia="仿宋_GB2312" w:hAnsi="Times New Roman" w:hint="eastAsia"/>
                <w:szCs w:val="24"/>
              </w:rPr>
              <w:t>城</w:t>
            </w:r>
            <w:r>
              <w:rPr>
                <w:rFonts w:ascii="Times New Roman" w:eastAsia="仿宋_GB2312" w:hAnsi="Times New Roman" w:hint="eastAsia"/>
                <w:szCs w:val="24"/>
              </w:rPr>
              <w:t>-</w:t>
            </w:r>
            <w:r>
              <w:rPr>
                <w:rFonts w:ascii="Times New Roman" w:eastAsia="仿宋_GB2312" w:hAnsi="Times New Roman" w:hint="eastAsia"/>
                <w:szCs w:val="24"/>
              </w:rPr>
              <w:t>河的风水格局特色。</w:t>
            </w:r>
          </w:p>
        </w:tc>
      </w:tr>
    </w:tbl>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72" w:name="_Toc9055"/>
      <w:bookmarkStart w:id="1473" w:name="_Toc20926"/>
      <w:bookmarkStart w:id="1474" w:name="_Toc25401"/>
      <w:bookmarkStart w:id="1475" w:name="_Toc19068"/>
      <w:bookmarkStart w:id="1476" w:name="_Toc10321"/>
      <w:bookmarkStart w:id="1477" w:name="_Toc11316"/>
      <w:bookmarkStart w:id="1478" w:name="_Toc28746"/>
      <w:bookmarkStart w:id="1479" w:name="_Toc22902"/>
      <w:bookmarkStart w:id="1480" w:name="_Toc3922"/>
      <w:bookmarkStart w:id="1481" w:name="_Toc5834"/>
      <w:bookmarkStart w:id="1482" w:name="_Toc23416"/>
      <w:r>
        <w:rPr>
          <w:rFonts w:ascii="Times New Roman" w:eastAsia="楷体_GB2312" w:hAnsi="Times New Roman" w:cs="Times New Roman" w:hint="eastAsia"/>
          <w:sz w:val="32"/>
          <w:szCs w:val="32"/>
        </w:rPr>
        <w:t>构建全域旅游发展空间</w:t>
      </w:r>
      <w:bookmarkEnd w:id="1472"/>
      <w:bookmarkEnd w:id="1473"/>
      <w:bookmarkEnd w:id="1474"/>
      <w:bookmarkEnd w:id="1475"/>
      <w:bookmarkEnd w:id="1476"/>
      <w:bookmarkEnd w:id="1477"/>
      <w:bookmarkEnd w:id="1478"/>
      <w:bookmarkEnd w:id="147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发挥丹东市作为北方地区首个荣获“中国气候宜居市”国家气候标志城市的推广示范作用，深入推进全域旅游、全时旅游发展，形成以边境旅游为龙头，生态旅游、红色旅游、</w:t>
      </w:r>
      <w:r>
        <w:rPr>
          <w:rFonts w:ascii="Times New Roman" w:eastAsia="仿宋_GB2312" w:hAnsi="Times New Roman" w:cs="Times New Roman" w:hint="eastAsia"/>
          <w:sz w:val="32"/>
          <w:szCs w:val="32"/>
        </w:rPr>
        <w:lastRenderedPageBreak/>
        <w:t>冰雪旅游、温泉旅游、乡村旅游等为支撑的多元旅游主题相互融合的旅游业发展新格局，争创国家红色旅游融合发展示范区、国家边境旅游试验区。构建“</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核</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廊，四带三区”旅游发展空间结构，“一核”指</w:t>
      </w:r>
      <w:r>
        <w:rPr>
          <w:rFonts w:ascii="Times New Roman" w:eastAsia="仿宋_GB2312" w:hAnsi="Times New Roman" w:cs="Times New Roman" w:hint="eastAsia"/>
          <w:kern w:val="0"/>
          <w:sz w:val="32"/>
          <w:szCs w:val="32"/>
          <w:shd w:val="clear" w:color="auto" w:fill="FFFFFF"/>
        </w:rPr>
        <w:t>丹东城区文化旅游休闲核，“一廊”指鸭绿江</w:t>
      </w:r>
      <w:r>
        <w:rPr>
          <w:rFonts w:ascii="Times New Roman" w:eastAsia="仿宋_GB2312" w:hAnsi="Times New Roman" w:cs="Times New Roman" w:hint="eastAsia"/>
          <w:kern w:val="0"/>
          <w:sz w:val="32"/>
          <w:szCs w:val="32"/>
          <w:shd w:val="clear" w:color="auto" w:fill="FFFFFF"/>
        </w:rPr>
        <w:t>-</w:t>
      </w:r>
      <w:r>
        <w:rPr>
          <w:rFonts w:ascii="Times New Roman" w:eastAsia="仿宋_GB2312" w:hAnsi="Times New Roman" w:cs="Times New Roman" w:hint="eastAsia"/>
          <w:kern w:val="0"/>
          <w:sz w:val="32"/>
          <w:szCs w:val="32"/>
          <w:shd w:val="clear" w:color="auto" w:fill="FFFFFF"/>
        </w:rPr>
        <w:t>北黄海国际旅游廊道，“四带”</w:t>
      </w:r>
      <w:proofErr w:type="gramStart"/>
      <w:r>
        <w:rPr>
          <w:rFonts w:ascii="Times New Roman" w:eastAsia="仿宋_GB2312" w:hAnsi="Times New Roman" w:cs="Times New Roman" w:hint="eastAsia"/>
          <w:kern w:val="0"/>
          <w:sz w:val="32"/>
          <w:szCs w:val="32"/>
          <w:shd w:val="clear" w:color="auto" w:fill="FFFFFF"/>
        </w:rPr>
        <w:t>指沈丹旅游</w:t>
      </w:r>
      <w:proofErr w:type="gramEnd"/>
      <w:r>
        <w:rPr>
          <w:rFonts w:ascii="Times New Roman" w:eastAsia="仿宋_GB2312" w:hAnsi="Times New Roman" w:cs="Times New Roman" w:hint="eastAsia"/>
          <w:kern w:val="0"/>
          <w:sz w:val="32"/>
          <w:szCs w:val="32"/>
          <w:shd w:val="clear" w:color="auto" w:fill="FFFFFF"/>
        </w:rPr>
        <w:t>联动发展带、东部绿色旅游发展带、爱河山水联动发展带、大洋河生态运动发展带，“三区”指东港现代农业与滨海休闲区、凤城山水乡村与温泉旅居区、宽甸</w:t>
      </w:r>
      <w:proofErr w:type="gramStart"/>
      <w:r>
        <w:rPr>
          <w:rFonts w:ascii="Times New Roman" w:eastAsia="仿宋_GB2312" w:hAnsi="Times New Roman" w:cs="Times New Roman" w:hint="eastAsia"/>
          <w:kern w:val="0"/>
          <w:sz w:val="32"/>
          <w:szCs w:val="32"/>
          <w:shd w:val="clear" w:color="auto" w:fill="FFFFFF"/>
        </w:rPr>
        <w:t>红色文旅与</w:t>
      </w:r>
      <w:proofErr w:type="gramEnd"/>
      <w:r>
        <w:rPr>
          <w:rFonts w:ascii="Times New Roman" w:eastAsia="仿宋_GB2312" w:hAnsi="Times New Roman" w:cs="Times New Roman" w:hint="eastAsia"/>
          <w:kern w:val="0"/>
          <w:sz w:val="32"/>
          <w:szCs w:val="32"/>
          <w:shd w:val="clear" w:color="auto" w:fill="FFFFFF"/>
        </w:rPr>
        <w:t>生态旅游区</w:t>
      </w:r>
      <w:r>
        <w:rPr>
          <w:rFonts w:ascii="Times New Roman" w:eastAsia="仿宋_GB2312" w:hAnsi="Times New Roman" w:cs="Times New Roman" w:hint="eastAsia"/>
          <w:sz w:val="32"/>
          <w:szCs w:val="32"/>
        </w:rPr>
        <w:t>。</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打造“纯美鸭绿江”界江旅游产品。建设鸭绿江休闲旅游带和鸭绿江国家旅游风景道，优化鸭绿江旅游交通服务和旅游供给，以世界级旅游景区为建设目标，引领和推进“白通丹”鸭绿江国际休闲旅游带建设，提升丹东市在辽宁省及东北地区文化旅游知名度和美誉度。</w:t>
      </w:r>
      <w:r>
        <w:rPr>
          <w:rFonts w:ascii="Times New Roman" w:eastAsia="仿宋_GB2312" w:hAnsi="Times New Roman" w:cs="Times New Roman" w:hint="eastAsia"/>
          <w:sz w:val="32"/>
          <w:szCs w:val="32"/>
        </w:rPr>
        <w:t xml:space="preserve"> </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提升冰雪旅游品牌影响力。扩大冰雪旅游产品供给，增加</w:t>
      </w:r>
      <w:r>
        <w:rPr>
          <w:rFonts w:ascii="Times New Roman" w:eastAsia="仿宋_GB2312" w:hAnsi="Times New Roman" w:cs="Times New Roman" w:hint="eastAsia"/>
          <w:sz w:val="32"/>
          <w:szCs w:val="32"/>
        </w:rPr>
        <w:t>A</w:t>
      </w:r>
      <w:r>
        <w:rPr>
          <w:rFonts w:ascii="Times New Roman" w:eastAsia="仿宋_GB2312" w:hAnsi="Times New Roman" w:cs="Times New Roman" w:hint="eastAsia"/>
          <w:sz w:val="32"/>
          <w:szCs w:val="32"/>
        </w:rPr>
        <w:t>级旅游景区、旅游度假区，结合冬季冰雪元素和特色，打造森林冰雪民俗游，建设冰雪温泉旅游精品路线。持续推动冰雪旅游提质升级，发挥资源优势，以东港市北黄海温泉小镇、振兴区萌芽水库特色田园小镇、凤</w:t>
      </w:r>
      <w:proofErr w:type="gramStart"/>
      <w:r>
        <w:rPr>
          <w:rFonts w:ascii="Times New Roman" w:eastAsia="仿宋_GB2312" w:hAnsi="Times New Roman" w:cs="Times New Roman" w:hint="eastAsia"/>
          <w:sz w:val="32"/>
          <w:szCs w:val="32"/>
        </w:rPr>
        <w:t>城市东汤温泉</w:t>
      </w:r>
      <w:proofErr w:type="gramEnd"/>
      <w:r>
        <w:rPr>
          <w:rFonts w:ascii="Times New Roman" w:eastAsia="仿宋_GB2312" w:hAnsi="Times New Roman" w:cs="Times New Roman" w:hint="eastAsia"/>
          <w:sz w:val="32"/>
          <w:szCs w:val="32"/>
        </w:rPr>
        <w:t>旅游度假区、振安区太阳岛旅游度假村等为引领，建设一批高品质冰雪休闲旅游度假小镇和冰雪温泉度假区，全力打造辽东冰雪旅游目的地。推动“冰雪旅游</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”冬季旅游新业态，开发夜经济、冰雪、</w:t>
      </w:r>
      <w:proofErr w:type="gramStart"/>
      <w:r>
        <w:rPr>
          <w:rFonts w:ascii="Times New Roman" w:eastAsia="仿宋_GB2312" w:hAnsi="Times New Roman" w:cs="Times New Roman" w:hint="eastAsia"/>
          <w:sz w:val="32"/>
          <w:szCs w:val="32"/>
        </w:rPr>
        <w:t>研</w:t>
      </w:r>
      <w:proofErr w:type="gramEnd"/>
      <w:r>
        <w:rPr>
          <w:rFonts w:ascii="Times New Roman" w:eastAsia="仿宋_GB2312" w:hAnsi="Times New Roman" w:cs="Times New Roman" w:hint="eastAsia"/>
          <w:sz w:val="32"/>
          <w:szCs w:val="32"/>
        </w:rPr>
        <w:t>学、旅游等多种形式的冰雪旅游新体验，</w:t>
      </w:r>
      <w:r>
        <w:rPr>
          <w:rFonts w:ascii="Times New Roman" w:eastAsia="仿宋_GB2312" w:hAnsi="Times New Roman" w:cs="Times New Roman" w:hint="eastAsia"/>
          <w:sz w:val="32"/>
          <w:szCs w:val="32"/>
        </w:rPr>
        <w:lastRenderedPageBreak/>
        <w:t>丰富旅游要素供给，建设四季宜游的旅游目的地。</w:t>
      </w:r>
    </w:p>
    <w:p w:rsidR="00A765C5" w:rsidRDefault="00702EF7" w:rsidP="006B5E5D">
      <w:pPr>
        <w:pStyle w:val="2"/>
        <w:numPr>
          <w:ilvl w:val="0"/>
          <w:numId w:val="11"/>
        </w:numPr>
        <w:snapToGrid w:val="0"/>
        <w:spacing w:beforeLines="50" w:before="156" w:afterLines="50" w:after="156" w:line="600" w:lineRule="exact"/>
        <w:jc w:val="center"/>
        <w:rPr>
          <w:rFonts w:ascii="Times New Roman" w:eastAsia="黑体" w:hAnsi="Times New Roman"/>
          <w:b w:val="0"/>
          <w:bCs w:val="0"/>
          <w:sz w:val="32"/>
        </w:rPr>
      </w:pPr>
      <w:bookmarkStart w:id="1483" w:name="_Toc18914"/>
      <w:bookmarkStart w:id="1484" w:name="_Toc28597"/>
      <w:bookmarkStart w:id="1485" w:name="_Toc19535"/>
      <w:bookmarkStart w:id="1486" w:name="_Toc18095"/>
      <w:bookmarkStart w:id="1487" w:name="_Toc15068"/>
      <w:bookmarkStart w:id="1488" w:name="_Toc30510"/>
      <w:bookmarkStart w:id="1489" w:name="_Toc6404"/>
      <w:r>
        <w:rPr>
          <w:rFonts w:ascii="Times New Roman" w:eastAsia="黑体" w:hAnsi="Times New Roman" w:hint="eastAsia"/>
          <w:b w:val="0"/>
          <w:bCs w:val="0"/>
          <w:sz w:val="32"/>
        </w:rPr>
        <w:t>强化城乡风貌</w:t>
      </w:r>
      <w:bookmarkEnd w:id="1480"/>
      <w:bookmarkEnd w:id="1481"/>
      <w:bookmarkEnd w:id="1482"/>
      <w:r>
        <w:rPr>
          <w:rFonts w:ascii="Times New Roman" w:eastAsia="黑体" w:hAnsi="Times New Roman" w:hint="eastAsia"/>
          <w:b w:val="0"/>
          <w:bCs w:val="0"/>
          <w:sz w:val="32"/>
        </w:rPr>
        <w:t>分区管控</w:t>
      </w:r>
      <w:bookmarkEnd w:id="1483"/>
      <w:bookmarkEnd w:id="1484"/>
      <w:bookmarkEnd w:id="1485"/>
      <w:bookmarkEnd w:id="1486"/>
      <w:bookmarkEnd w:id="1487"/>
      <w:bookmarkEnd w:id="1488"/>
      <w:bookmarkEnd w:id="1489"/>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90" w:name="_Toc18547"/>
      <w:bookmarkStart w:id="1491" w:name="_Toc10874"/>
      <w:bookmarkStart w:id="1492" w:name="_Toc7230"/>
      <w:bookmarkStart w:id="1493" w:name="_Toc23794"/>
      <w:bookmarkStart w:id="1494" w:name="_Toc9114"/>
      <w:bookmarkStart w:id="1495" w:name="_Toc7019"/>
      <w:bookmarkStart w:id="1496" w:name="_Toc11731"/>
      <w:bookmarkStart w:id="1497" w:name="_Toc12818"/>
      <w:r>
        <w:rPr>
          <w:rFonts w:ascii="Times New Roman" w:eastAsia="楷体_GB2312" w:hAnsi="Times New Roman" w:cs="Times New Roman" w:hint="eastAsia"/>
          <w:sz w:val="32"/>
          <w:szCs w:val="32"/>
        </w:rPr>
        <w:t>塑造全域景观风貌</w:t>
      </w:r>
      <w:bookmarkEnd w:id="1490"/>
      <w:bookmarkEnd w:id="1491"/>
      <w:bookmarkEnd w:id="1492"/>
      <w:bookmarkEnd w:id="1493"/>
      <w:bookmarkEnd w:id="1494"/>
      <w:bookmarkEnd w:id="1495"/>
      <w:bookmarkEnd w:id="1496"/>
      <w:bookmarkEnd w:id="1497"/>
    </w:p>
    <w:p w:rsidR="00A765C5" w:rsidRDefault="00702EF7">
      <w:pPr>
        <w:snapToGrid w:val="0"/>
        <w:spacing w:line="6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依托整体山水格局和总体地域特色，构筑“山、江、海、滩、泉、林、岛”的多重网络整体山水格局。建设国际蓝色海岸带：坚持陆海统筹，开展海岸带整治和生态修复工作。建设国际精品界江旅游带：以“七彩绿江、丹东印记”为主题概念，打造鸭绿江旅游品牌。建设浑江、爱河、大洋河三大生态蓝道：实施“人文</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风景”策略，充分发挥水岸两侧历史遗迹、湿地景观、风景名胜资源优势，打造精品文化水岸。打造三大风貌区：凤城和宽甸打造山岳生态风貌区，挖掘风景特色，打造康养旅游名片；东港打造蓝色海洋风貌区，保育湿地生态，发展高端度假、海岛观光等多种滨海旅游产品；丹东中心城区打造城市风貌区，以“江海明珠”为特色打造现代滨江宜居城市。</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498" w:name="_Toc16654"/>
      <w:bookmarkStart w:id="1499" w:name="_Toc22632"/>
      <w:bookmarkStart w:id="1500" w:name="_Toc17251"/>
      <w:bookmarkStart w:id="1501" w:name="_Toc5339"/>
      <w:bookmarkStart w:id="1502" w:name="_Toc11532"/>
      <w:bookmarkStart w:id="1503" w:name="_Toc1272"/>
      <w:bookmarkStart w:id="1504" w:name="_Toc31165"/>
      <w:bookmarkStart w:id="1505" w:name="_Toc8022"/>
      <w:r>
        <w:rPr>
          <w:rFonts w:ascii="Times New Roman" w:eastAsia="楷体_GB2312" w:hAnsi="Times New Roman" w:cs="Times New Roman" w:hint="eastAsia"/>
          <w:sz w:val="32"/>
          <w:szCs w:val="32"/>
        </w:rPr>
        <w:t>传承乡村文脉，凸显村落特色</w:t>
      </w:r>
      <w:bookmarkEnd w:id="1498"/>
      <w:bookmarkEnd w:id="1499"/>
      <w:bookmarkEnd w:id="1500"/>
      <w:bookmarkEnd w:id="1501"/>
      <w:bookmarkEnd w:id="1502"/>
      <w:bookmarkEnd w:id="1503"/>
      <w:bookmarkEnd w:id="1504"/>
      <w:bookmarkEnd w:id="150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以建设“东北小江南，都市后花园”的生态乡村为目标，全面提升乡村地区人居环境、文化内涵和景观品质，塑造“山为骨，林网相随；水为带，田林相间；路景相依，村在田中”的乡村整体风貌。</w:t>
      </w:r>
    </w:p>
    <w:p w:rsidR="00A765C5" w:rsidRDefault="00A765C5">
      <w:pPr>
        <w:pStyle w:val="0"/>
        <w:ind w:firstLine="640"/>
        <w:rPr>
          <w:rFonts w:eastAsia="仿宋_GB2312"/>
          <w:kern w:val="2"/>
          <w:sz w:val="32"/>
          <w:szCs w:val="32"/>
        </w:rPr>
        <w:sectPr w:rsidR="00A765C5">
          <w:pgSz w:w="11850" w:h="16783"/>
          <w:pgMar w:top="1440" w:right="1800" w:bottom="1440" w:left="1800" w:header="720" w:footer="720" w:gutter="0"/>
          <w:cols w:space="720"/>
          <w:docGrid w:type="lines" w:linePitch="312"/>
        </w:sectPr>
      </w:pP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1506" w:name="_Toc24480"/>
      <w:bookmarkStart w:id="1507" w:name="_Toc32188"/>
      <w:bookmarkStart w:id="1508" w:name="_Toc17870"/>
      <w:bookmarkStart w:id="1509" w:name="_Toc24625"/>
      <w:bookmarkStart w:id="1510" w:name="_Toc31171"/>
      <w:bookmarkStart w:id="1511" w:name="_Toc25985"/>
      <w:bookmarkStart w:id="1512" w:name="_Toc9562"/>
      <w:bookmarkStart w:id="1513" w:name="_Toc11638"/>
      <w:bookmarkStart w:id="1514" w:name="_Toc2599"/>
      <w:bookmarkStart w:id="1515" w:name="_Toc8409"/>
      <w:r>
        <w:rPr>
          <w:rFonts w:ascii="Times New Roman" w:eastAsia="方正小标宋_GBK" w:hAnsi="Times New Roman" w:cs="Times New Roman" w:hint="eastAsia"/>
          <w:b w:val="0"/>
          <w:sz w:val="36"/>
          <w:szCs w:val="36"/>
        </w:rPr>
        <w:lastRenderedPageBreak/>
        <w:t>加强综合交通</w:t>
      </w:r>
      <w:bookmarkEnd w:id="1506"/>
      <w:bookmarkEnd w:id="1507"/>
      <w:bookmarkEnd w:id="1508"/>
      <w:r>
        <w:rPr>
          <w:rFonts w:ascii="Times New Roman" w:eastAsia="方正小标宋_GBK" w:hAnsi="Times New Roman" w:cs="Times New Roman" w:hint="eastAsia"/>
          <w:b w:val="0"/>
          <w:sz w:val="36"/>
          <w:szCs w:val="36"/>
        </w:rPr>
        <w:t>体系构建</w:t>
      </w:r>
      <w:bookmarkEnd w:id="1509"/>
      <w:bookmarkEnd w:id="1510"/>
      <w:bookmarkEnd w:id="1511"/>
      <w:bookmarkEnd w:id="1512"/>
      <w:bookmarkEnd w:id="1513"/>
      <w:bookmarkEnd w:id="1514"/>
      <w:bookmarkEnd w:id="1515"/>
    </w:p>
    <w:p w:rsidR="00A765C5" w:rsidRDefault="00702EF7" w:rsidP="006B5E5D">
      <w:pPr>
        <w:pStyle w:val="2"/>
        <w:numPr>
          <w:ilvl w:val="0"/>
          <w:numId w:val="12"/>
        </w:numPr>
        <w:snapToGrid w:val="0"/>
        <w:spacing w:beforeLines="50" w:before="156" w:afterLines="50" w:after="156" w:line="600" w:lineRule="exact"/>
        <w:jc w:val="center"/>
        <w:rPr>
          <w:rFonts w:ascii="Times New Roman" w:eastAsia="黑体" w:hAnsi="Times New Roman"/>
          <w:b w:val="0"/>
          <w:bCs w:val="0"/>
          <w:sz w:val="32"/>
        </w:rPr>
      </w:pPr>
      <w:bookmarkStart w:id="1516" w:name="_Toc7177"/>
      <w:bookmarkStart w:id="1517" w:name="_Toc13898"/>
      <w:bookmarkStart w:id="1518" w:name="_Toc6884"/>
      <w:bookmarkStart w:id="1519" w:name="_Toc14474"/>
      <w:bookmarkStart w:id="1520" w:name="_Toc13178"/>
      <w:bookmarkStart w:id="1521" w:name="_Toc15280"/>
      <w:bookmarkStart w:id="1522" w:name="_Toc16427"/>
      <w:bookmarkStart w:id="1523" w:name="_Toc18062"/>
      <w:r>
        <w:rPr>
          <w:rFonts w:ascii="Times New Roman" w:eastAsia="黑体" w:hAnsi="Times New Roman" w:hint="eastAsia"/>
          <w:b w:val="0"/>
          <w:bCs w:val="0"/>
          <w:sz w:val="32"/>
        </w:rPr>
        <w:t>构建市域高效便捷的综合交通</w:t>
      </w:r>
      <w:bookmarkEnd w:id="1516"/>
      <w:bookmarkEnd w:id="1517"/>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24" w:name="_Toc1203"/>
      <w:bookmarkStart w:id="1525" w:name="_Toc5033"/>
      <w:r>
        <w:rPr>
          <w:rFonts w:ascii="Times New Roman" w:eastAsia="楷体_GB2312" w:hAnsi="Times New Roman" w:cs="Times New Roman" w:hint="eastAsia"/>
          <w:sz w:val="32"/>
          <w:szCs w:val="32"/>
        </w:rPr>
        <w:t>建设国际综合枢纽港</w:t>
      </w:r>
      <w:bookmarkEnd w:id="1518"/>
      <w:bookmarkEnd w:id="1519"/>
      <w:bookmarkEnd w:id="1520"/>
      <w:bookmarkEnd w:id="1521"/>
      <w:bookmarkEnd w:id="1522"/>
      <w:bookmarkEnd w:id="1523"/>
      <w:bookmarkEnd w:id="1524"/>
      <w:bookmarkEnd w:id="152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重点建设丹东港，包括大东港区、浪头港区、海洋红港区</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个港区，积极发展为边贸、陆岛交通服务的沿海沿江中小港点。大东港区建设成为腹地经济发展和后方临港工业服务的综合性国际深水港区，打造东北亚地区重要的进出口加工贸易基地、东北东部地区边海联动的重要枢纽，港区功能以大宗干散货、石油及液体化工品、集装箱运输为主，兼顾粮食、钢铁、木材等散杂货运输，为承担丹东港主要服务功能的核心港区；浪头港区打造国际休闲旅游港，形成集国际游船旅游、国际自由贸易、中外美食文化和度假康养于一体的国际化游轮综合体，港区功能以客运、游艇、客滚、件货为主，主要满足旅客运输、边贸、城市所需件货运输和江海货物转运，及其他临港产业需求；海洋红港区为发展预留港。</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26" w:name="_Toc29693"/>
      <w:bookmarkStart w:id="1527" w:name="_Toc13262"/>
      <w:bookmarkStart w:id="1528" w:name="_Toc23087"/>
      <w:bookmarkStart w:id="1529" w:name="_Toc26941"/>
      <w:bookmarkStart w:id="1530" w:name="_Toc19035"/>
      <w:bookmarkStart w:id="1531" w:name="_Toc16345"/>
      <w:bookmarkStart w:id="1532" w:name="_Toc1188"/>
      <w:bookmarkStart w:id="1533" w:name="_Toc31325"/>
      <w:r>
        <w:rPr>
          <w:rFonts w:ascii="Times New Roman" w:eastAsia="楷体_GB2312" w:hAnsi="Times New Roman" w:cs="Times New Roman" w:hint="eastAsia"/>
          <w:sz w:val="32"/>
          <w:szCs w:val="32"/>
        </w:rPr>
        <w:t>建设区域性航空物流中心</w:t>
      </w:r>
      <w:bookmarkEnd w:id="1526"/>
      <w:bookmarkEnd w:id="1527"/>
      <w:bookmarkEnd w:id="1528"/>
      <w:bookmarkEnd w:id="1529"/>
      <w:bookmarkEnd w:id="1530"/>
      <w:bookmarkEnd w:id="1531"/>
      <w:bookmarkEnd w:id="1532"/>
      <w:bookmarkEnd w:id="153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提升空港客运能力，发展国内旅游航线。强化货运价值链，</w:t>
      </w:r>
      <w:proofErr w:type="gramStart"/>
      <w:r>
        <w:rPr>
          <w:rFonts w:ascii="Times New Roman" w:eastAsia="仿宋_GB2312" w:hAnsi="Times New Roman" w:cs="Times New Roman" w:hint="eastAsia"/>
          <w:sz w:val="32"/>
          <w:szCs w:val="32"/>
        </w:rPr>
        <w:t>结合高</w:t>
      </w:r>
      <w:proofErr w:type="gramEnd"/>
      <w:r>
        <w:rPr>
          <w:rFonts w:ascii="Times New Roman" w:eastAsia="仿宋_GB2312" w:hAnsi="Times New Roman" w:cs="Times New Roman" w:hint="eastAsia"/>
          <w:sz w:val="32"/>
          <w:szCs w:val="32"/>
        </w:rPr>
        <w:t>新区建设航空物流区，积极承接大连航空货运服务外溢，提升丹东空港货运能力及服务水平。优化货运通道，</w:t>
      </w:r>
      <w:proofErr w:type="gramStart"/>
      <w:r>
        <w:rPr>
          <w:rFonts w:ascii="Times New Roman" w:eastAsia="仿宋_GB2312" w:hAnsi="Times New Roman" w:cs="Times New Roman" w:hint="eastAsia"/>
          <w:sz w:val="32"/>
          <w:szCs w:val="32"/>
        </w:rPr>
        <w:t>完善集</w:t>
      </w:r>
      <w:proofErr w:type="gramEnd"/>
      <w:r>
        <w:rPr>
          <w:rFonts w:ascii="Times New Roman" w:eastAsia="仿宋_GB2312" w:hAnsi="Times New Roman" w:cs="Times New Roman" w:hint="eastAsia"/>
          <w:sz w:val="32"/>
          <w:szCs w:val="32"/>
        </w:rPr>
        <w:t>疏运体系，提升航空物流对先进制造业的服务支撑，强化空海联运，实现机场、港口保税服务一体化。</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34" w:name="_Toc9149"/>
      <w:bookmarkStart w:id="1535" w:name="_Toc2800"/>
      <w:bookmarkStart w:id="1536" w:name="_Toc24614"/>
      <w:bookmarkStart w:id="1537" w:name="_Toc27906"/>
      <w:bookmarkStart w:id="1538" w:name="_Toc7438"/>
      <w:bookmarkStart w:id="1539" w:name="_Toc12252"/>
      <w:bookmarkStart w:id="1540" w:name="_Toc4400"/>
      <w:bookmarkStart w:id="1541" w:name="_Toc31359"/>
      <w:r>
        <w:rPr>
          <w:rFonts w:ascii="Times New Roman" w:eastAsia="楷体_GB2312" w:hAnsi="Times New Roman" w:cs="Times New Roman" w:hint="eastAsia"/>
          <w:sz w:val="32"/>
          <w:szCs w:val="32"/>
        </w:rPr>
        <w:lastRenderedPageBreak/>
        <w:t>统筹公铁枢纽建设</w:t>
      </w:r>
      <w:bookmarkEnd w:id="1534"/>
      <w:bookmarkEnd w:id="1535"/>
      <w:bookmarkEnd w:id="1536"/>
      <w:bookmarkEnd w:id="1537"/>
      <w:bookmarkEnd w:id="1538"/>
      <w:bookmarkEnd w:id="1539"/>
      <w:bookmarkEnd w:id="1540"/>
      <w:bookmarkEnd w:id="154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铁路枢纽：形成“三客、三货、两综合”的铁路客货枢纽站点及若干转换集散节点。其中丹东站、丹东西站为铁路客货综合枢纽，东港北站、凤城东站、宽甸高铁站为铁路客运枢纽，</w:t>
      </w:r>
      <w:proofErr w:type="gramStart"/>
      <w:r>
        <w:rPr>
          <w:rFonts w:ascii="Times New Roman" w:eastAsia="仿宋_GB2312" w:hAnsi="Times New Roman" w:cs="Times New Roman" w:hint="eastAsia"/>
          <w:sz w:val="32"/>
          <w:szCs w:val="32"/>
        </w:rPr>
        <w:t>前阳南站</w:t>
      </w:r>
      <w:proofErr w:type="gramEnd"/>
      <w:r>
        <w:rPr>
          <w:rFonts w:ascii="Times New Roman" w:eastAsia="仿宋_GB2312" w:hAnsi="Times New Roman" w:cs="Times New Roman" w:hint="eastAsia"/>
          <w:sz w:val="32"/>
          <w:szCs w:val="32"/>
        </w:rPr>
        <w:t>、凤凰城站和宽甸站为铁路货运枢纽。</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公路枢纽：市域范围布局</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处公路客运枢纽，按照三级以上公路客运站建设。其中一级客运站</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处，二级客运站</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处，三级客运站</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处。市域范围布局</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处公路货运站。</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42" w:name="_Toc18770"/>
      <w:bookmarkStart w:id="1543" w:name="_Toc3931"/>
      <w:bookmarkStart w:id="1544" w:name="_Toc14167"/>
      <w:bookmarkStart w:id="1545" w:name="_Toc14866"/>
      <w:bookmarkStart w:id="1546" w:name="_Toc14776"/>
      <w:bookmarkStart w:id="1547" w:name="_Toc3826"/>
      <w:bookmarkStart w:id="1548" w:name="_Toc29970"/>
      <w:bookmarkStart w:id="1549" w:name="_Toc5740"/>
      <w:r>
        <w:rPr>
          <w:rFonts w:ascii="Times New Roman" w:eastAsia="楷体_GB2312" w:hAnsi="Times New Roman" w:cs="Times New Roman" w:hint="eastAsia"/>
          <w:sz w:val="32"/>
          <w:szCs w:val="32"/>
        </w:rPr>
        <w:t>推进铁路大通道建设</w:t>
      </w:r>
      <w:bookmarkEnd w:id="1542"/>
      <w:bookmarkEnd w:id="1543"/>
      <w:bookmarkEnd w:id="1544"/>
      <w:bookmarkEnd w:id="1545"/>
      <w:bookmarkEnd w:id="1546"/>
      <w:bookmarkEnd w:id="1547"/>
      <w:bookmarkEnd w:id="1548"/>
      <w:bookmarkEnd w:id="154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国际铁路大通道：以东北海陆大通道为支撑，推进丹通高速铁路建设，联通铁路沿线各口岸城市，打造丹东市至东北东部沿边城市及俄罗斯远东地区的国际铁路通道；利用中朝铁路，支撑对</w:t>
      </w:r>
      <w:proofErr w:type="gramStart"/>
      <w:r>
        <w:rPr>
          <w:rFonts w:ascii="Times New Roman" w:eastAsia="仿宋_GB2312" w:hAnsi="Times New Roman" w:cs="Times New Roman" w:hint="eastAsia"/>
          <w:sz w:val="32"/>
          <w:szCs w:val="32"/>
        </w:rPr>
        <w:t>朝口岸</w:t>
      </w:r>
      <w:proofErr w:type="gramEnd"/>
      <w:r>
        <w:rPr>
          <w:rFonts w:ascii="Times New Roman" w:eastAsia="仿宋_GB2312" w:hAnsi="Times New Roman" w:cs="Times New Roman" w:hint="eastAsia"/>
          <w:sz w:val="32"/>
          <w:szCs w:val="32"/>
        </w:rPr>
        <w:t>贸易。形成覆盖东北东部、朝鲜和俄罗斯及远东地区的铁路大通道。</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内铁路大通道：依托丹大快速铁路，向西连接辽宁沿海经济带北黄海翼的快速铁路交通大通道建设；向北利用沈丹客运专线铁路，强化与沈阳都市圈的交通联系，构建区域统筹协作网络的重要通道；向东推进丹通快速铁路建设，充分发挥东北东部铁路的干线运输大通道职能，与哈大线、沈丹线、梅集线、长图线等铁路相连，强化与哈长城市群及东北东部地区的铁路交通联系。</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加密普速铁路网，构建快速通达的铁路网络：加快推进</w:t>
      </w:r>
      <w:r>
        <w:rPr>
          <w:rFonts w:ascii="Times New Roman" w:eastAsia="仿宋_GB2312" w:hAnsi="Times New Roman" w:cs="Times New Roman" w:hint="eastAsia"/>
          <w:sz w:val="32"/>
          <w:szCs w:val="32"/>
        </w:rPr>
        <w:lastRenderedPageBreak/>
        <w:t>丹前线外移、凤城至</w:t>
      </w:r>
      <w:proofErr w:type="gramStart"/>
      <w:r>
        <w:rPr>
          <w:rFonts w:ascii="Times New Roman" w:eastAsia="仿宋_GB2312" w:hAnsi="Times New Roman" w:cs="Times New Roman" w:hint="eastAsia"/>
          <w:sz w:val="32"/>
          <w:szCs w:val="32"/>
        </w:rPr>
        <w:t>岫岩至熊岳</w:t>
      </w:r>
      <w:proofErr w:type="gramEnd"/>
      <w:r>
        <w:rPr>
          <w:rFonts w:ascii="Times New Roman" w:eastAsia="仿宋_GB2312" w:hAnsi="Times New Roman" w:cs="Times New Roman" w:hint="eastAsia"/>
          <w:sz w:val="32"/>
          <w:szCs w:val="32"/>
        </w:rPr>
        <w:t>铁路、海洋红疏港铁路、沈丹线、</w:t>
      </w:r>
      <w:proofErr w:type="gramStart"/>
      <w:r>
        <w:rPr>
          <w:rFonts w:ascii="Times New Roman" w:eastAsia="仿宋_GB2312" w:hAnsi="Times New Roman" w:cs="Times New Roman" w:hint="eastAsia"/>
          <w:sz w:val="32"/>
          <w:szCs w:val="32"/>
        </w:rPr>
        <w:t>通灌线</w:t>
      </w:r>
      <w:proofErr w:type="gramEnd"/>
      <w:r>
        <w:rPr>
          <w:rFonts w:ascii="Times New Roman" w:eastAsia="仿宋_GB2312" w:hAnsi="Times New Roman" w:cs="Times New Roman" w:hint="eastAsia"/>
          <w:sz w:val="32"/>
          <w:szCs w:val="32"/>
        </w:rPr>
        <w:t>、凤上线等普</w:t>
      </w:r>
      <w:proofErr w:type="gramStart"/>
      <w:r>
        <w:rPr>
          <w:rFonts w:ascii="Times New Roman" w:eastAsia="仿宋_GB2312" w:hAnsi="Times New Roman" w:cs="Times New Roman" w:hint="eastAsia"/>
          <w:sz w:val="32"/>
          <w:szCs w:val="32"/>
        </w:rPr>
        <w:t>速铁路</w:t>
      </w:r>
      <w:proofErr w:type="gramEnd"/>
      <w:r>
        <w:rPr>
          <w:rFonts w:ascii="Times New Roman" w:eastAsia="仿宋_GB2312" w:hAnsi="Times New Roman" w:cs="Times New Roman" w:hint="eastAsia"/>
          <w:sz w:val="32"/>
          <w:szCs w:val="32"/>
        </w:rPr>
        <w:t>的建设与升级，串接综合货运枢纽与物流基地，发展开放型通道。</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铁路专用线：结合工矿企业、物流园区布局，对煤炭、矿石、钢铁等大宗货物年运量</w:t>
      </w:r>
      <w:r>
        <w:rPr>
          <w:rFonts w:ascii="Times New Roman" w:eastAsia="仿宋_GB2312" w:hAnsi="Times New Roman" w:cs="Times New Roman" w:hint="eastAsia"/>
          <w:sz w:val="32"/>
          <w:szCs w:val="32"/>
        </w:rPr>
        <w:t>150</w:t>
      </w:r>
      <w:r>
        <w:rPr>
          <w:rFonts w:ascii="Times New Roman" w:eastAsia="仿宋_GB2312" w:hAnsi="Times New Roman" w:cs="Times New Roman" w:hint="eastAsia"/>
          <w:sz w:val="32"/>
          <w:szCs w:val="32"/>
        </w:rPr>
        <w:t>万吨以上企业，规划预留接入铁路专用线条件。</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50" w:name="_Toc20818"/>
      <w:bookmarkStart w:id="1551" w:name="_Toc29325"/>
      <w:bookmarkStart w:id="1552" w:name="_Toc13066"/>
      <w:bookmarkStart w:id="1553" w:name="_Toc10067"/>
      <w:bookmarkStart w:id="1554" w:name="_Toc374"/>
      <w:bookmarkStart w:id="1555" w:name="_Toc9217"/>
      <w:bookmarkStart w:id="1556" w:name="_Toc4834"/>
      <w:bookmarkStart w:id="1557" w:name="_Toc12741"/>
      <w:r>
        <w:rPr>
          <w:rFonts w:ascii="Times New Roman" w:eastAsia="楷体_GB2312" w:hAnsi="Times New Roman" w:cs="Times New Roman" w:hint="eastAsia"/>
          <w:sz w:val="32"/>
          <w:szCs w:val="32"/>
        </w:rPr>
        <w:t>加强公路</w:t>
      </w:r>
      <w:bookmarkStart w:id="1558" w:name="_Toc11110"/>
      <w:bookmarkStart w:id="1559" w:name="_Toc14897"/>
      <w:bookmarkStart w:id="1560" w:name="_Toc21762"/>
      <w:r>
        <w:rPr>
          <w:rFonts w:ascii="Times New Roman" w:eastAsia="楷体_GB2312" w:hAnsi="Times New Roman" w:cs="Times New Roman" w:hint="eastAsia"/>
          <w:sz w:val="32"/>
          <w:szCs w:val="32"/>
        </w:rPr>
        <w:t>网建设</w:t>
      </w:r>
      <w:bookmarkEnd w:id="1550"/>
      <w:bookmarkEnd w:id="1551"/>
      <w:bookmarkEnd w:id="1552"/>
      <w:bookmarkEnd w:id="1553"/>
      <w:bookmarkEnd w:id="1554"/>
      <w:bookmarkEnd w:id="1555"/>
      <w:bookmarkEnd w:id="1556"/>
      <w:bookmarkEnd w:id="1557"/>
      <w:bookmarkEnd w:id="1558"/>
      <w:bookmarkEnd w:id="1559"/>
      <w:bookmarkEnd w:id="1560"/>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高速公路：市域形成“</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横</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纵</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联络”网络格局。</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普通干线公路：通过优化完善布局、提质扩容升级等，形成以国省干线为动脉、县乡公路为骨架的公路网络体系，实现大通道与区域之间的交通一体化。</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农村公路、旅游公路：有序推进“四好农村路”建设，完善便捷高效的农村骨干公路网络和</w:t>
      </w:r>
      <w:proofErr w:type="gramStart"/>
      <w:r>
        <w:rPr>
          <w:rFonts w:ascii="Times New Roman" w:eastAsia="仿宋_GB2312" w:hAnsi="Times New Roman" w:cs="Times New Roman" w:hint="eastAsia"/>
          <w:sz w:val="32"/>
          <w:szCs w:val="32"/>
        </w:rPr>
        <w:t>普惠</w:t>
      </w:r>
      <w:proofErr w:type="gramEnd"/>
      <w:r>
        <w:rPr>
          <w:rFonts w:ascii="Times New Roman" w:eastAsia="仿宋_GB2312" w:hAnsi="Times New Roman" w:cs="Times New Roman" w:hint="eastAsia"/>
          <w:sz w:val="32"/>
          <w:szCs w:val="32"/>
        </w:rPr>
        <w:t>公平的农村基础公路网络；改善旅游道路环境，构建四通八达、高速快捷的旅游公路网络。</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61" w:name="_Toc3513"/>
      <w:bookmarkStart w:id="1562" w:name="_Toc5266"/>
      <w:bookmarkStart w:id="1563" w:name="_Toc16805"/>
      <w:bookmarkStart w:id="1564" w:name="_Toc22991"/>
      <w:bookmarkStart w:id="1565" w:name="_Toc14137"/>
      <w:bookmarkStart w:id="1566" w:name="_Toc18307"/>
      <w:bookmarkStart w:id="1567" w:name="_Toc19901"/>
      <w:bookmarkStart w:id="1568" w:name="_Toc18920"/>
      <w:r>
        <w:rPr>
          <w:rFonts w:ascii="Times New Roman" w:eastAsia="楷体_GB2312" w:hAnsi="Times New Roman" w:cs="Times New Roman" w:hint="eastAsia"/>
          <w:sz w:val="32"/>
          <w:szCs w:val="32"/>
        </w:rPr>
        <w:t>建设边民互市贸易区</w:t>
      </w:r>
      <w:bookmarkEnd w:id="1561"/>
      <w:bookmarkEnd w:id="1562"/>
      <w:bookmarkEnd w:id="1563"/>
      <w:bookmarkEnd w:id="1564"/>
      <w:bookmarkEnd w:id="1565"/>
      <w:bookmarkEnd w:id="1566"/>
      <w:bookmarkEnd w:id="1567"/>
      <w:bookmarkEnd w:id="156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w:t>
      </w:r>
      <w:proofErr w:type="gramStart"/>
      <w:r>
        <w:rPr>
          <w:rFonts w:ascii="Times New Roman" w:eastAsia="仿宋_GB2312" w:hAnsi="Times New Roman" w:cs="Times New Roman" w:hint="eastAsia"/>
          <w:sz w:val="32"/>
          <w:szCs w:val="32"/>
        </w:rPr>
        <w:t>域设立</w:t>
      </w:r>
      <w:proofErr w:type="gramEnd"/>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个边民互市贸易区。互市贸易区的具体选址根据未来建设需要进行调整，城镇开发边界外的项目可通过分散布局和重大项目用地指标予以保障。</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近期新建丹东港边民互市贸易区、丹东大东沟边民互市贸易区、丹东一撮</w:t>
      </w:r>
      <w:proofErr w:type="gramStart"/>
      <w:r>
        <w:rPr>
          <w:rFonts w:ascii="Times New Roman" w:eastAsia="仿宋_GB2312" w:hAnsi="Times New Roman" w:cs="Times New Roman" w:hint="eastAsia"/>
          <w:sz w:val="32"/>
          <w:szCs w:val="32"/>
        </w:rPr>
        <w:t>毛边民</w:t>
      </w:r>
      <w:proofErr w:type="gramEnd"/>
      <w:r>
        <w:rPr>
          <w:rFonts w:ascii="Times New Roman" w:eastAsia="仿宋_GB2312" w:hAnsi="Times New Roman" w:cs="Times New Roman" w:hint="eastAsia"/>
          <w:sz w:val="32"/>
          <w:szCs w:val="32"/>
        </w:rPr>
        <w:t>互市贸易区、丹东河口边民互市贸易区、丹东金山边民互市贸易区；远期规划丹东浪头机场边</w:t>
      </w:r>
      <w:r>
        <w:rPr>
          <w:rFonts w:ascii="Times New Roman" w:eastAsia="仿宋_GB2312" w:hAnsi="Times New Roman" w:cs="Times New Roman" w:hint="eastAsia"/>
          <w:sz w:val="32"/>
          <w:szCs w:val="32"/>
        </w:rPr>
        <w:lastRenderedPageBreak/>
        <w:t>民互市贸易区、马市边民互市贸易区。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升级已验收运行的国门湾边民互市贸易区。推动大东沟互市贸易区通关运营，积极筹措开发互贸业务。与大东港海关积极沟通，具体研究开展业务相关事宜，对货物名录、停靠码头、现场查验等事项逐一梳理。</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69" w:name="_Toc5274"/>
      <w:bookmarkStart w:id="1570" w:name="_Toc28668"/>
      <w:bookmarkStart w:id="1571" w:name="_Toc27137"/>
      <w:bookmarkStart w:id="1572" w:name="_Toc8858"/>
      <w:bookmarkStart w:id="1573" w:name="_Toc11087"/>
      <w:bookmarkStart w:id="1574" w:name="_Toc24599"/>
      <w:bookmarkStart w:id="1575" w:name="_Toc803"/>
      <w:bookmarkStart w:id="1576" w:name="_Toc22298"/>
      <w:r>
        <w:rPr>
          <w:rFonts w:ascii="Times New Roman" w:eastAsia="楷体_GB2312" w:hAnsi="Times New Roman" w:cs="Times New Roman" w:hint="eastAsia"/>
          <w:sz w:val="32"/>
          <w:szCs w:val="32"/>
        </w:rPr>
        <w:t>构建现代物流体系</w:t>
      </w:r>
      <w:bookmarkEnd w:id="1569"/>
      <w:bookmarkEnd w:id="1570"/>
      <w:bookmarkEnd w:id="1571"/>
      <w:bookmarkEnd w:id="1572"/>
      <w:bookmarkEnd w:id="1573"/>
      <w:bookmarkEnd w:id="1574"/>
      <w:bookmarkEnd w:id="1575"/>
      <w:bookmarkEnd w:id="1576"/>
    </w:p>
    <w:p w:rsidR="00A765C5" w:rsidRDefault="00702EF7">
      <w:pPr>
        <w:pStyle w:val="0"/>
        <w:ind w:firstLine="640"/>
        <w:rPr>
          <w:rFonts w:eastAsia="仿宋_GB2312"/>
          <w:sz w:val="32"/>
          <w:szCs w:val="32"/>
        </w:rPr>
      </w:pPr>
      <w:r>
        <w:rPr>
          <w:rFonts w:eastAsia="仿宋_GB2312" w:hint="eastAsia"/>
          <w:sz w:val="32"/>
          <w:szCs w:val="32"/>
        </w:rPr>
        <w:t>优化货运站场布局，促进多式联运，推进区域性、专业性产业集中区与物流园区建设，升级改造商贸流通设施，全面推进物流高质量发展，助力丹东市建成一流的陆上边境口岸型国家物流枢纽城市。</w:t>
      </w:r>
    </w:p>
    <w:p w:rsidR="00A765C5" w:rsidRDefault="00702EF7" w:rsidP="006B5E5D">
      <w:pPr>
        <w:pStyle w:val="2"/>
        <w:numPr>
          <w:ilvl w:val="0"/>
          <w:numId w:val="12"/>
        </w:numPr>
        <w:snapToGrid w:val="0"/>
        <w:spacing w:beforeLines="50" w:before="156" w:afterLines="50" w:after="156" w:line="600" w:lineRule="exact"/>
        <w:jc w:val="center"/>
        <w:rPr>
          <w:rFonts w:ascii="Times New Roman" w:eastAsia="黑体" w:hAnsi="Times New Roman"/>
          <w:b w:val="0"/>
          <w:bCs w:val="0"/>
          <w:sz w:val="32"/>
        </w:rPr>
      </w:pPr>
      <w:bookmarkStart w:id="1577" w:name="_Toc19590"/>
      <w:bookmarkStart w:id="1578" w:name="_Toc16556"/>
      <w:bookmarkStart w:id="1579" w:name="_Toc8917"/>
      <w:bookmarkStart w:id="1580" w:name="_Toc4573"/>
      <w:bookmarkStart w:id="1581" w:name="_Toc17946"/>
      <w:bookmarkStart w:id="1582" w:name="_Toc11951"/>
      <w:bookmarkStart w:id="1583" w:name="_Toc18648"/>
      <w:bookmarkStart w:id="1584" w:name="_Toc9039"/>
      <w:bookmarkStart w:id="1585" w:name="_Toc12396"/>
      <w:bookmarkStart w:id="1586" w:name="_Toc6325"/>
      <w:bookmarkStart w:id="1587" w:name="_Toc24680"/>
      <w:r>
        <w:rPr>
          <w:rFonts w:ascii="Times New Roman" w:eastAsia="黑体" w:hAnsi="Times New Roman" w:hint="eastAsia"/>
          <w:b w:val="0"/>
          <w:bCs w:val="0"/>
          <w:sz w:val="32"/>
        </w:rPr>
        <w:t>优化中心城区城市道路交通</w:t>
      </w:r>
      <w:bookmarkEnd w:id="1577"/>
      <w:bookmarkEnd w:id="1578"/>
      <w:bookmarkEnd w:id="1579"/>
      <w:bookmarkEnd w:id="1580"/>
      <w:bookmarkEnd w:id="1581"/>
      <w:bookmarkEnd w:id="1582"/>
      <w:bookmarkEnd w:id="1583"/>
      <w:bookmarkEnd w:id="1584"/>
      <w:bookmarkEnd w:id="1585"/>
      <w:bookmarkEnd w:id="1586"/>
      <w:bookmarkEnd w:id="1587"/>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88" w:name="_Toc26686"/>
      <w:bookmarkStart w:id="1589" w:name="_Toc10106"/>
      <w:bookmarkStart w:id="1590" w:name="_Toc17005"/>
      <w:bookmarkStart w:id="1591" w:name="_Toc25128"/>
      <w:bookmarkStart w:id="1592" w:name="_Toc9118"/>
      <w:bookmarkStart w:id="1593" w:name="_Toc23144"/>
      <w:bookmarkStart w:id="1594" w:name="_Toc20448"/>
      <w:bookmarkStart w:id="1595" w:name="_Toc12543"/>
      <w:bookmarkStart w:id="1596" w:name="_Toc24437"/>
      <w:r>
        <w:rPr>
          <w:rFonts w:ascii="Times New Roman" w:eastAsia="楷体_GB2312" w:hAnsi="Times New Roman" w:cs="Times New Roman" w:hint="eastAsia"/>
          <w:sz w:val="32"/>
          <w:szCs w:val="32"/>
        </w:rPr>
        <w:t>城市对外交通</w:t>
      </w:r>
      <w:bookmarkEnd w:id="1588"/>
      <w:bookmarkEnd w:id="1589"/>
      <w:bookmarkEnd w:id="1590"/>
      <w:bookmarkEnd w:id="1591"/>
      <w:bookmarkEnd w:id="1592"/>
      <w:bookmarkEnd w:id="1593"/>
      <w:r>
        <w:rPr>
          <w:rFonts w:ascii="Times New Roman" w:eastAsia="楷体_GB2312" w:hAnsi="Times New Roman" w:cs="Times New Roman" w:hint="eastAsia"/>
          <w:sz w:val="32"/>
          <w:szCs w:val="32"/>
        </w:rPr>
        <w:t>体系</w:t>
      </w:r>
      <w:bookmarkEnd w:id="1594"/>
      <w:bookmarkEnd w:id="159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国道：国道</w:t>
      </w:r>
      <w:r>
        <w:rPr>
          <w:rFonts w:ascii="Times New Roman" w:eastAsia="仿宋_GB2312" w:hAnsi="Times New Roman" w:cs="Times New Roman" w:hint="eastAsia"/>
          <w:sz w:val="32"/>
          <w:szCs w:val="32"/>
        </w:rPr>
        <w:t>201</w:t>
      </w:r>
      <w:r>
        <w:rPr>
          <w:rFonts w:ascii="Times New Roman" w:eastAsia="仿宋_GB2312" w:hAnsi="Times New Roman" w:cs="Times New Roman" w:hint="eastAsia"/>
          <w:sz w:val="32"/>
          <w:szCs w:val="32"/>
        </w:rPr>
        <w:t>以不干扰城市交通为原则，主要承担疏导过境交通与城市组团间快速交通联系两项职能。</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铁路：建设丹东火车站</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铁路客运中心、丹东西站</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铁路客运副中心、</w:t>
      </w:r>
      <w:proofErr w:type="gramStart"/>
      <w:r>
        <w:rPr>
          <w:rFonts w:ascii="Times New Roman" w:eastAsia="仿宋_GB2312" w:hAnsi="Times New Roman" w:cs="Times New Roman" w:hint="eastAsia"/>
          <w:sz w:val="32"/>
          <w:szCs w:val="32"/>
        </w:rPr>
        <w:t>前阳南</w:t>
      </w:r>
      <w:proofErr w:type="gramEnd"/>
      <w:r>
        <w:rPr>
          <w:rFonts w:ascii="Times New Roman" w:eastAsia="仿宋_GB2312" w:hAnsi="Times New Roman" w:cs="Times New Roman" w:hint="eastAsia"/>
          <w:sz w:val="32"/>
          <w:szCs w:val="32"/>
        </w:rPr>
        <w:t>编组站</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铁路货运枢纽，新建丹通高铁、丹前线外移等线路。</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597" w:name="_Toc32631"/>
      <w:bookmarkStart w:id="1598" w:name="_Toc32635"/>
      <w:bookmarkStart w:id="1599" w:name="_Toc29940"/>
      <w:bookmarkStart w:id="1600" w:name="_Toc15509"/>
      <w:bookmarkStart w:id="1601" w:name="_Toc11716"/>
      <w:bookmarkStart w:id="1602" w:name="_Toc25433"/>
      <w:bookmarkStart w:id="1603" w:name="_Toc7204"/>
      <w:bookmarkStart w:id="1604" w:name="_Toc12747"/>
      <w:r>
        <w:rPr>
          <w:rFonts w:ascii="Times New Roman" w:eastAsia="楷体_GB2312" w:hAnsi="Times New Roman" w:cs="Times New Roman" w:hint="eastAsia"/>
          <w:sz w:val="32"/>
          <w:szCs w:val="32"/>
        </w:rPr>
        <w:t>城市高快速路</w:t>
      </w:r>
      <w:bookmarkEnd w:id="1597"/>
      <w:bookmarkEnd w:id="1598"/>
      <w:bookmarkEnd w:id="1599"/>
      <w:bookmarkEnd w:id="1600"/>
      <w:bookmarkEnd w:id="1601"/>
      <w:bookmarkEnd w:id="1602"/>
      <w:r>
        <w:rPr>
          <w:rFonts w:ascii="Times New Roman" w:eastAsia="楷体_GB2312" w:hAnsi="Times New Roman" w:cs="Times New Roman" w:hint="eastAsia"/>
          <w:sz w:val="32"/>
          <w:szCs w:val="32"/>
        </w:rPr>
        <w:t>体系</w:t>
      </w:r>
      <w:bookmarkEnd w:id="1603"/>
      <w:bookmarkEnd w:id="160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构建“两横六纵”的高快速路网骨架，强化东西向快速交通联系，横纵互通互联。两</w:t>
      </w:r>
      <w:proofErr w:type="gramStart"/>
      <w:r>
        <w:rPr>
          <w:rFonts w:ascii="Times New Roman" w:eastAsia="仿宋_GB2312" w:hAnsi="Times New Roman" w:cs="Times New Roman" w:hint="eastAsia"/>
          <w:sz w:val="32"/>
          <w:szCs w:val="32"/>
        </w:rPr>
        <w:t>横指丹大</w:t>
      </w:r>
      <w:proofErr w:type="gramEnd"/>
      <w:r>
        <w:rPr>
          <w:rFonts w:ascii="Times New Roman" w:eastAsia="仿宋_GB2312" w:hAnsi="Times New Roman" w:cs="Times New Roman" w:hint="eastAsia"/>
          <w:sz w:val="32"/>
          <w:szCs w:val="32"/>
        </w:rPr>
        <w:t>高速</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丹通高速、东西向快速路；六纵指疏港高速、疏港快速路、</w:t>
      </w:r>
      <w:proofErr w:type="gramStart"/>
      <w:r>
        <w:rPr>
          <w:rFonts w:ascii="Times New Roman" w:eastAsia="仿宋_GB2312" w:hAnsi="Times New Roman" w:cs="Times New Roman" w:hint="eastAsia"/>
          <w:sz w:val="32"/>
          <w:szCs w:val="32"/>
        </w:rPr>
        <w:t>前阳快速</w:t>
      </w:r>
      <w:proofErr w:type="gramEnd"/>
      <w:r>
        <w:rPr>
          <w:rFonts w:ascii="Times New Roman" w:eastAsia="仿宋_GB2312" w:hAnsi="Times New Roman" w:cs="Times New Roman" w:hint="eastAsia"/>
          <w:sz w:val="32"/>
          <w:szCs w:val="32"/>
        </w:rPr>
        <w:t>路、</w:t>
      </w:r>
      <w:r>
        <w:rPr>
          <w:rFonts w:ascii="Times New Roman" w:eastAsia="仿宋_GB2312" w:hAnsi="Times New Roman" w:cs="Times New Roman" w:hint="eastAsia"/>
          <w:sz w:val="32"/>
          <w:szCs w:val="32"/>
        </w:rPr>
        <w:lastRenderedPageBreak/>
        <w:t>口岸高速、花园路、国道</w:t>
      </w:r>
      <w:r>
        <w:rPr>
          <w:rFonts w:ascii="Times New Roman" w:eastAsia="仿宋_GB2312" w:hAnsi="Times New Roman" w:cs="Times New Roman" w:hint="eastAsia"/>
          <w:sz w:val="32"/>
          <w:szCs w:val="32"/>
        </w:rPr>
        <w:t>G304</w:t>
      </w:r>
      <w:r>
        <w:rPr>
          <w:rFonts w:ascii="Times New Roman" w:eastAsia="仿宋_GB2312" w:hAnsi="Times New Roman" w:cs="Times New Roman" w:hint="eastAsia"/>
          <w:sz w:val="32"/>
          <w:szCs w:val="32"/>
        </w:rPr>
        <w:t>（金山快速路）。</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05" w:name="_Toc115"/>
      <w:bookmarkStart w:id="1606" w:name="_Toc27661"/>
      <w:bookmarkStart w:id="1607" w:name="_Toc26755"/>
      <w:bookmarkStart w:id="1608" w:name="_Toc20610"/>
      <w:bookmarkStart w:id="1609" w:name="_Toc17378"/>
      <w:bookmarkStart w:id="1610" w:name="_Toc14081"/>
      <w:bookmarkStart w:id="1611" w:name="_Toc4904"/>
      <w:bookmarkStart w:id="1612" w:name="_Toc16416"/>
      <w:r>
        <w:rPr>
          <w:rFonts w:ascii="Times New Roman" w:eastAsia="楷体_GB2312" w:hAnsi="Times New Roman" w:cs="Times New Roman" w:hint="eastAsia"/>
          <w:sz w:val="32"/>
          <w:szCs w:val="32"/>
        </w:rPr>
        <w:t>城市公共交通</w:t>
      </w:r>
      <w:bookmarkEnd w:id="1605"/>
      <w:bookmarkEnd w:id="1606"/>
      <w:bookmarkEnd w:id="1607"/>
      <w:bookmarkEnd w:id="1608"/>
      <w:bookmarkEnd w:id="1609"/>
      <w:bookmarkEnd w:id="1610"/>
      <w:r>
        <w:rPr>
          <w:rFonts w:ascii="Times New Roman" w:eastAsia="楷体_GB2312" w:hAnsi="Times New Roman" w:cs="Times New Roman" w:hint="eastAsia"/>
          <w:sz w:val="32"/>
          <w:szCs w:val="32"/>
        </w:rPr>
        <w:t>体系</w:t>
      </w:r>
      <w:bookmarkEnd w:id="1611"/>
      <w:bookmarkEnd w:id="161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规划构建便捷舒适、绿色经济、服务优质的公共交通网络系统，提高城市公共交通的可达性和可靠性。统筹协调公共交通服务，规划“</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条快速公交</w:t>
      </w:r>
      <w:r>
        <w:rPr>
          <w:rFonts w:ascii="Times New Roman" w:eastAsia="仿宋_GB2312" w:hAnsi="Times New Roman" w:cs="Times New Roman" w:hint="eastAsia"/>
          <w:sz w:val="32"/>
          <w:szCs w:val="32"/>
        </w:rPr>
        <w:t>BRT+5</w:t>
      </w:r>
      <w:r>
        <w:rPr>
          <w:rFonts w:ascii="Times New Roman" w:eastAsia="仿宋_GB2312" w:hAnsi="Times New Roman" w:cs="Times New Roman" w:hint="eastAsia"/>
          <w:sz w:val="32"/>
          <w:szCs w:val="32"/>
        </w:rPr>
        <w:t>条轨道交通（远景预留）”的骨干公交网络布局，强化跨组团快速公共交通联系。常规公交系统作为</w:t>
      </w:r>
      <w:r>
        <w:rPr>
          <w:rFonts w:ascii="Times New Roman" w:eastAsia="仿宋_GB2312" w:hAnsi="Times New Roman" w:cs="Times New Roman" w:hint="eastAsia"/>
          <w:sz w:val="32"/>
          <w:szCs w:val="32"/>
        </w:rPr>
        <w:t>BRT</w:t>
      </w:r>
      <w:r>
        <w:rPr>
          <w:rFonts w:ascii="Times New Roman" w:eastAsia="仿宋_GB2312" w:hAnsi="Times New Roman" w:cs="Times New Roman" w:hint="eastAsia"/>
          <w:sz w:val="32"/>
          <w:szCs w:val="32"/>
        </w:rPr>
        <w:t>快速公交线路与公交骨干线的补充。加快公交线路首末站专用掉头场站建设，解决新建居民区、商业区公交线路无法掉头和停靠问题。</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13" w:name="_Toc22324"/>
      <w:bookmarkStart w:id="1614" w:name="_Toc30736"/>
      <w:r>
        <w:rPr>
          <w:rFonts w:ascii="Times New Roman" w:eastAsia="楷体_GB2312" w:hAnsi="Times New Roman" w:cs="Times New Roman" w:hint="eastAsia"/>
          <w:sz w:val="32"/>
          <w:szCs w:val="32"/>
        </w:rPr>
        <w:t>提高城市道路网密度</w:t>
      </w:r>
      <w:bookmarkEnd w:id="1596"/>
      <w:bookmarkEnd w:id="1613"/>
      <w:bookmarkEnd w:id="1614"/>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建立网络化和系统化的主次</w:t>
      </w:r>
      <w:proofErr w:type="gramStart"/>
      <w:r>
        <w:rPr>
          <w:rFonts w:ascii="Times New Roman" w:eastAsia="仿宋_GB2312" w:hAnsi="Times New Roman" w:cs="Times New Roman" w:hint="eastAsia"/>
          <w:sz w:val="32"/>
          <w:szCs w:val="32"/>
        </w:rPr>
        <w:t>干道网</w:t>
      </w:r>
      <w:proofErr w:type="gramEnd"/>
      <w:r>
        <w:rPr>
          <w:rFonts w:ascii="Times New Roman" w:eastAsia="仿宋_GB2312" w:hAnsi="Times New Roman" w:cs="Times New Roman" w:hint="eastAsia"/>
          <w:sz w:val="32"/>
          <w:szCs w:val="32"/>
        </w:rPr>
        <w:t>体系。遵从“小街区、密路网”理念，综合整治老城组团现有支路，积极建设新区支路</w:t>
      </w:r>
      <w:r>
        <w:rPr>
          <w:rFonts w:ascii="Times New Roman" w:eastAsia="仿宋_GB2312" w:hAnsi="Times New Roman" w:cs="Times New Roman" w:hint="eastAsia"/>
          <w:color w:val="FF0000"/>
          <w:sz w:val="32"/>
          <w:szCs w:val="32"/>
        </w:rPr>
        <w:t>。</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15" w:name="_Toc16413"/>
      <w:bookmarkStart w:id="1616" w:name="_Toc9880"/>
      <w:bookmarkStart w:id="1617" w:name="_Toc21129"/>
      <w:r>
        <w:rPr>
          <w:rFonts w:ascii="Times New Roman" w:eastAsia="楷体_GB2312" w:hAnsi="Times New Roman" w:cs="Times New Roman" w:hint="eastAsia"/>
          <w:sz w:val="32"/>
          <w:szCs w:val="32"/>
        </w:rPr>
        <w:t>建设</w:t>
      </w:r>
      <w:proofErr w:type="gramStart"/>
      <w:r>
        <w:rPr>
          <w:rFonts w:ascii="Times New Roman" w:eastAsia="楷体_GB2312" w:hAnsi="Times New Roman" w:cs="Times New Roman" w:hint="eastAsia"/>
          <w:sz w:val="32"/>
          <w:szCs w:val="32"/>
        </w:rPr>
        <w:t>全龄友好</w:t>
      </w:r>
      <w:proofErr w:type="gramEnd"/>
      <w:r>
        <w:rPr>
          <w:rFonts w:ascii="Times New Roman" w:eastAsia="楷体_GB2312" w:hAnsi="Times New Roman" w:cs="Times New Roman" w:hint="eastAsia"/>
          <w:sz w:val="32"/>
          <w:szCs w:val="32"/>
        </w:rPr>
        <w:t>的慢行系统网络</w:t>
      </w:r>
      <w:bookmarkEnd w:id="1615"/>
      <w:bookmarkEnd w:id="1616"/>
      <w:bookmarkEnd w:id="1617"/>
    </w:p>
    <w:p w:rsidR="00A765C5" w:rsidRDefault="00702EF7">
      <w:pPr>
        <w:pStyle w:val="0"/>
        <w:ind w:firstLine="640"/>
        <w:rPr>
          <w:rFonts w:eastAsia="仿宋_GB2312"/>
          <w:sz w:val="32"/>
          <w:szCs w:val="32"/>
        </w:rPr>
      </w:pPr>
      <w:r>
        <w:rPr>
          <w:rFonts w:eastAsia="仿宋_GB2312" w:hint="eastAsia"/>
          <w:sz w:val="32"/>
          <w:szCs w:val="32"/>
        </w:rPr>
        <w:t>完善安全通达的骑行网络和舒适便捷的步行活动区域。建设连续、安全、宜人的步行和自行车网络，改善步行和自行车出行环境，发挥步行和骑行在终端距离出行和公共交通接驳中的主体作用。注重结合老年人及低龄学生的出行需求，依托步行和自行车网络，建立居住区与公园、小型广场等活动空间，与中小学、幼儿园等教育用地的联系，营造安全、舒适的步行和自行车出行环境。</w:t>
      </w:r>
    </w:p>
    <w:p w:rsidR="00A765C5" w:rsidRDefault="00A765C5">
      <w:pPr>
        <w:pStyle w:val="0"/>
        <w:ind w:firstLine="640"/>
        <w:rPr>
          <w:rFonts w:eastAsia="仿宋_GB2312"/>
          <w:sz w:val="32"/>
          <w:szCs w:val="32"/>
        </w:rPr>
        <w:sectPr w:rsidR="00A765C5">
          <w:pgSz w:w="11850" w:h="16783"/>
          <w:pgMar w:top="1440" w:right="1800" w:bottom="1440" w:left="1800" w:header="720" w:footer="720" w:gutter="0"/>
          <w:cols w:space="720"/>
          <w:docGrid w:type="lines" w:linePitch="312"/>
        </w:sectPr>
      </w:pP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1618" w:name="_Toc32655"/>
      <w:bookmarkStart w:id="1619" w:name="_Toc1679"/>
      <w:bookmarkStart w:id="1620" w:name="_Toc13350"/>
      <w:bookmarkStart w:id="1621" w:name="_Toc6095"/>
      <w:bookmarkStart w:id="1622" w:name="_Toc30857"/>
      <w:bookmarkStart w:id="1623" w:name="_Toc15539"/>
      <w:bookmarkStart w:id="1624" w:name="_Toc30984"/>
      <w:bookmarkStart w:id="1625" w:name="_Toc24343"/>
      <w:bookmarkStart w:id="1626" w:name="_Toc7556"/>
      <w:bookmarkStart w:id="1627" w:name="_Toc4152"/>
      <w:bookmarkStart w:id="1628" w:name="_Toc16368"/>
      <w:r>
        <w:rPr>
          <w:rFonts w:ascii="Times New Roman" w:eastAsia="方正小标宋_GBK" w:hAnsi="Times New Roman" w:cs="Times New Roman" w:hint="eastAsia"/>
          <w:b w:val="0"/>
          <w:sz w:val="36"/>
          <w:szCs w:val="36"/>
        </w:rPr>
        <w:lastRenderedPageBreak/>
        <w:t>协调基础设施</w:t>
      </w:r>
      <w:bookmarkEnd w:id="1618"/>
      <w:bookmarkEnd w:id="1619"/>
      <w:bookmarkEnd w:id="1620"/>
      <w:r>
        <w:rPr>
          <w:rFonts w:ascii="Times New Roman" w:eastAsia="方正小标宋_GBK" w:hAnsi="Times New Roman" w:cs="Times New Roman" w:hint="eastAsia"/>
          <w:b w:val="0"/>
          <w:sz w:val="36"/>
          <w:szCs w:val="36"/>
        </w:rPr>
        <w:t>建设，增强空间安全韧性</w:t>
      </w:r>
      <w:bookmarkEnd w:id="1621"/>
      <w:bookmarkEnd w:id="1622"/>
      <w:bookmarkEnd w:id="1623"/>
      <w:bookmarkEnd w:id="1624"/>
      <w:bookmarkEnd w:id="1625"/>
      <w:bookmarkEnd w:id="1626"/>
      <w:bookmarkEnd w:id="1627"/>
      <w:bookmarkEnd w:id="1628"/>
      <w:r>
        <w:rPr>
          <w:rFonts w:ascii="Times New Roman" w:eastAsia="方正小标宋_GBK" w:hAnsi="Times New Roman" w:cs="Times New Roman"/>
          <w:b w:val="0"/>
          <w:sz w:val="36"/>
          <w:szCs w:val="36"/>
        </w:rPr>
        <w:tab/>
      </w:r>
    </w:p>
    <w:p w:rsidR="00A765C5" w:rsidRDefault="00702EF7" w:rsidP="006B5E5D">
      <w:pPr>
        <w:pStyle w:val="2"/>
        <w:numPr>
          <w:ilvl w:val="0"/>
          <w:numId w:val="13"/>
        </w:numPr>
        <w:snapToGrid w:val="0"/>
        <w:spacing w:beforeLines="50" w:before="156" w:afterLines="50" w:after="156" w:line="600" w:lineRule="exact"/>
        <w:jc w:val="center"/>
        <w:rPr>
          <w:rFonts w:ascii="Times New Roman" w:eastAsia="黑体" w:hAnsi="Times New Roman"/>
          <w:b w:val="0"/>
          <w:bCs w:val="0"/>
          <w:sz w:val="32"/>
        </w:rPr>
      </w:pPr>
      <w:bookmarkStart w:id="1629" w:name="_Toc11782"/>
      <w:bookmarkStart w:id="1630" w:name="_Toc23355"/>
      <w:bookmarkStart w:id="1631" w:name="_Toc26089"/>
      <w:bookmarkStart w:id="1632" w:name="_Toc23719"/>
      <w:bookmarkStart w:id="1633" w:name="_Toc10935"/>
      <w:bookmarkStart w:id="1634" w:name="_Toc22"/>
      <w:bookmarkStart w:id="1635" w:name="_Toc27584"/>
      <w:r>
        <w:rPr>
          <w:rFonts w:ascii="Times New Roman" w:eastAsia="黑体" w:hAnsi="Times New Roman" w:hint="eastAsia"/>
          <w:b w:val="0"/>
          <w:bCs w:val="0"/>
          <w:sz w:val="32"/>
        </w:rPr>
        <w:t>构建水利基础设施网络</w:t>
      </w:r>
      <w:bookmarkEnd w:id="1629"/>
      <w:bookmarkEnd w:id="1630"/>
      <w:bookmarkEnd w:id="1631"/>
      <w:bookmarkEnd w:id="1632"/>
      <w:bookmarkEnd w:id="1633"/>
      <w:bookmarkEnd w:id="1634"/>
      <w:bookmarkEnd w:id="1635"/>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36" w:name="_Toc967"/>
      <w:bookmarkStart w:id="1637" w:name="_Toc29007"/>
      <w:bookmarkStart w:id="1638" w:name="_Toc3982"/>
      <w:bookmarkStart w:id="1639" w:name="_Toc6205"/>
      <w:bookmarkStart w:id="1640" w:name="_Toc16885"/>
      <w:bookmarkStart w:id="1641" w:name="_Toc8028"/>
      <w:bookmarkStart w:id="1642" w:name="_Toc11300"/>
      <w:bookmarkStart w:id="1643" w:name="_Toc32443"/>
      <w:r>
        <w:rPr>
          <w:rFonts w:ascii="Times New Roman" w:eastAsia="楷体_GB2312" w:hAnsi="Times New Roman" w:cs="Times New Roman" w:hint="eastAsia"/>
          <w:sz w:val="32"/>
          <w:szCs w:val="32"/>
        </w:rPr>
        <w:t>推进</w:t>
      </w:r>
      <w:proofErr w:type="gramStart"/>
      <w:r>
        <w:rPr>
          <w:rFonts w:ascii="Times New Roman" w:eastAsia="楷体_GB2312" w:hAnsi="Times New Roman" w:cs="Times New Roman" w:hint="eastAsia"/>
          <w:sz w:val="32"/>
          <w:szCs w:val="32"/>
        </w:rPr>
        <w:t>重大引调水工</w:t>
      </w:r>
      <w:proofErr w:type="gramEnd"/>
      <w:r>
        <w:rPr>
          <w:rFonts w:ascii="Times New Roman" w:eastAsia="楷体_GB2312" w:hAnsi="Times New Roman" w:cs="Times New Roman" w:hint="eastAsia"/>
          <w:sz w:val="32"/>
          <w:szCs w:val="32"/>
        </w:rPr>
        <w:t>程建设</w:t>
      </w:r>
      <w:bookmarkEnd w:id="1636"/>
      <w:bookmarkEnd w:id="1637"/>
      <w:bookmarkEnd w:id="1638"/>
      <w:bookmarkEnd w:id="1639"/>
      <w:bookmarkEnd w:id="1640"/>
      <w:bookmarkEnd w:id="1641"/>
      <w:bookmarkEnd w:id="1642"/>
      <w:bookmarkEnd w:id="1643"/>
    </w:p>
    <w:p w:rsidR="00A765C5" w:rsidRDefault="00702EF7">
      <w:pPr>
        <w:pStyle w:val="0"/>
        <w:ind w:firstLine="640"/>
        <w:jc w:val="both"/>
        <w:rPr>
          <w:rFonts w:eastAsia="仿宋_GB2312"/>
          <w:sz w:val="32"/>
          <w:szCs w:val="32"/>
        </w:rPr>
      </w:pPr>
      <w:r>
        <w:rPr>
          <w:rFonts w:eastAsia="仿宋_GB2312" w:hint="eastAsia"/>
          <w:sz w:val="32"/>
          <w:szCs w:val="32"/>
        </w:rPr>
        <w:t>稳步推进市级水资源配置配套工程建设，提升现有工程供水能力。</w:t>
      </w:r>
    </w:p>
    <w:p w:rsidR="00A765C5" w:rsidRDefault="00702EF7">
      <w:pPr>
        <w:pStyle w:val="0"/>
        <w:ind w:firstLine="640"/>
        <w:jc w:val="both"/>
        <w:rPr>
          <w:rFonts w:eastAsia="仿宋_GB2312"/>
          <w:sz w:val="32"/>
          <w:szCs w:val="32"/>
        </w:rPr>
      </w:pPr>
      <w:r>
        <w:rPr>
          <w:rFonts w:eastAsia="仿宋_GB2312" w:hint="eastAsia"/>
          <w:sz w:val="32"/>
          <w:szCs w:val="32"/>
        </w:rPr>
        <w:t>在宽甸满族自治县、凤城市推进抗旱应急备用水源工程，在凤城市开展城市应急备用水源建设，提高丹东市区、东港市、凤</w:t>
      </w:r>
      <w:proofErr w:type="gramStart"/>
      <w:r>
        <w:rPr>
          <w:rFonts w:eastAsia="仿宋_GB2312" w:hint="eastAsia"/>
          <w:sz w:val="32"/>
          <w:szCs w:val="32"/>
        </w:rPr>
        <w:t>城市城市</w:t>
      </w:r>
      <w:proofErr w:type="gramEnd"/>
      <w:r>
        <w:rPr>
          <w:rFonts w:eastAsia="仿宋_GB2312" w:hint="eastAsia"/>
          <w:sz w:val="32"/>
          <w:szCs w:val="32"/>
        </w:rPr>
        <w:t>供水保证率。</w:t>
      </w:r>
    </w:p>
    <w:p w:rsidR="00A765C5" w:rsidRDefault="00702EF7">
      <w:pPr>
        <w:pStyle w:val="0"/>
        <w:ind w:firstLine="640"/>
        <w:jc w:val="both"/>
        <w:rPr>
          <w:rFonts w:eastAsia="仿宋_GB2312"/>
          <w:sz w:val="32"/>
          <w:szCs w:val="32"/>
        </w:rPr>
      </w:pPr>
      <w:r>
        <w:rPr>
          <w:rFonts w:eastAsia="仿宋_GB2312" w:hint="eastAsia"/>
          <w:sz w:val="32"/>
          <w:szCs w:val="32"/>
        </w:rPr>
        <w:t>加强区域内重大输配水设施工程管理保护，依照国家、省市相关法规条文要求，划定域内重大输配水设施工程工程管理保护范围，加强对其工程管理和保护力度，确保重大输配水工程项目供水质量和供水安全。</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44" w:name="_Toc7508"/>
      <w:bookmarkStart w:id="1645" w:name="_Toc6212"/>
      <w:bookmarkStart w:id="1646" w:name="_Toc19176"/>
      <w:bookmarkStart w:id="1647" w:name="_Toc31820"/>
      <w:bookmarkStart w:id="1648" w:name="_Toc5817"/>
      <w:bookmarkStart w:id="1649" w:name="_Toc302"/>
      <w:bookmarkStart w:id="1650" w:name="_Toc3979"/>
      <w:bookmarkStart w:id="1651" w:name="_Toc10480"/>
      <w:r>
        <w:rPr>
          <w:rFonts w:ascii="Times New Roman" w:eastAsia="楷体_GB2312" w:hAnsi="Times New Roman" w:cs="Times New Roman" w:hint="eastAsia"/>
          <w:sz w:val="32"/>
          <w:szCs w:val="32"/>
        </w:rPr>
        <w:t>加强水源工程建设</w:t>
      </w:r>
      <w:bookmarkEnd w:id="1644"/>
      <w:bookmarkEnd w:id="1645"/>
      <w:bookmarkEnd w:id="1646"/>
      <w:bookmarkEnd w:id="1647"/>
      <w:bookmarkEnd w:id="1648"/>
      <w:bookmarkEnd w:id="1649"/>
      <w:bookmarkEnd w:id="1650"/>
      <w:bookmarkEnd w:id="1651"/>
    </w:p>
    <w:p w:rsidR="00A765C5" w:rsidRDefault="00702EF7">
      <w:pPr>
        <w:pStyle w:val="0"/>
        <w:ind w:firstLine="640"/>
        <w:jc w:val="both"/>
        <w:rPr>
          <w:rFonts w:eastAsia="仿宋_GB2312"/>
          <w:sz w:val="32"/>
          <w:szCs w:val="32"/>
        </w:rPr>
      </w:pPr>
      <w:r>
        <w:rPr>
          <w:rFonts w:eastAsia="仿宋_GB2312" w:hint="eastAsia"/>
          <w:sz w:val="32"/>
          <w:szCs w:val="32"/>
        </w:rPr>
        <w:t>充分挖掘已有工程供水能力，多</w:t>
      </w:r>
      <w:proofErr w:type="gramStart"/>
      <w:r>
        <w:rPr>
          <w:rFonts w:eastAsia="仿宋_GB2312" w:hint="eastAsia"/>
          <w:sz w:val="32"/>
          <w:szCs w:val="32"/>
        </w:rPr>
        <w:t>措</w:t>
      </w:r>
      <w:proofErr w:type="gramEnd"/>
      <w:r>
        <w:rPr>
          <w:rFonts w:eastAsia="仿宋_GB2312" w:hint="eastAsia"/>
          <w:sz w:val="32"/>
          <w:szCs w:val="32"/>
        </w:rPr>
        <w:t>并举加强城市应急备用水源工程规划与建设，构建多源互补、互为备用、集约高效的城市供水水源格局，提高应对重大灾害和突发水安全事件的能力，提高城市供水水源风险防范化解能力，科学建设一批中小型抗旱应急备用水源工程，逐步形成大中小微并举、蓄引提调结合、水源调节互补的供水保障体系，全面提升抗旱供水水源保障能力。加强战略储备水源建设</w:t>
      </w:r>
      <w:r>
        <w:rPr>
          <w:rFonts w:eastAsia="仿宋_GB2312" w:hint="eastAsia"/>
          <w:sz w:val="32"/>
          <w:szCs w:val="32"/>
        </w:rPr>
        <w:t>,</w:t>
      </w:r>
      <w:r>
        <w:rPr>
          <w:rFonts w:eastAsia="仿宋_GB2312" w:hint="eastAsia"/>
          <w:sz w:val="32"/>
          <w:szCs w:val="32"/>
        </w:rPr>
        <w:t>提高供水系统</w:t>
      </w:r>
      <w:r>
        <w:rPr>
          <w:rFonts w:eastAsia="仿宋_GB2312" w:hint="eastAsia"/>
          <w:sz w:val="32"/>
          <w:szCs w:val="32"/>
        </w:rPr>
        <w:lastRenderedPageBreak/>
        <w:t>的可靠性，增强特大干旱、持续干旱、突发水安全事件的应对能力，全面提升供水水源保障能力。</w:t>
      </w:r>
    </w:p>
    <w:p w:rsidR="00A765C5" w:rsidRDefault="00702EF7" w:rsidP="006B5E5D">
      <w:pPr>
        <w:pStyle w:val="2"/>
        <w:numPr>
          <w:ilvl w:val="0"/>
          <w:numId w:val="13"/>
        </w:numPr>
        <w:snapToGrid w:val="0"/>
        <w:spacing w:beforeLines="50" w:before="156" w:afterLines="50" w:after="156" w:line="600" w:lineRule="exact"/>
        <w:jc w:val="center"/>
        <w:rPr>
          <w:rFonts w:ascii="Times New Roman" w:eastAsia="黑体" w:hAnsi="Times New Roman"/>
          <w:b w:val="0"/>
          <w:bCs w:val="0"/>
          <w:sz w:val="32"/>
        </w:rPr>
      </w:pPr>
      <w:bookmarkStart w:id="1652" w:name="_Toc15966"/>
      <w:bookmarkStart w:id="1653" w:name="_Toc29196"/>
      <w:bookmarkStart w:id="1654" w:name="_Toc27886"/>
      <w:bookmarkStart w:id="1655" w:name="_Toc3021"/>
      <w:bookmarkStart w:id="1656" w:name="_Toc16101"/>
      <w:bookmarkStart w:id="1657" w:name="_Toc19259"/>
      <w:bookmarkStart w:id="1658" w:name="_Toc26875"/>
      <w:r>
        <w:rPr>
          <w:rFonts w:ascii="Times New Roman" w:eastAsia="黑体" w:hAnsi="Times New Roman" w:hint="eastAsia"/>
          <w:b w:val="0"/>
          <w:bCs w:val="0"/>
          <w:sz w:val="32"/>
        </w:rPr>
        <w:t>促进能源设施绿色发展</w:t>
      </w:r>
      <w:bookmarkEnd w:id="1652"/>
      <w:bookmarkEnd w:id="1653"/>
      <w:bookmarkEnd w:id="1654"/>
      <w:bookmarkEnd w:id="1655"/>
      <w:bookmarkEnd w:id="1656"/>
      <w:bookmarkEnd w:id="1657"/>
      <w:bookmarkEnd w:id="1658"/>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59" w:name="_Toc3068"/>
      <w:bookmarkStart w:id="1660" w:name="_Toc13669"/>
      <w:bookmarkStart w:id="1661" w:name="_Toc18588"/>
      <w:bookmarkStart w:id="1662" w:name="_Toc14546"/>
      <w:bookmarkStart w:id="1663" w:name="_Toc16235"/>
      <w:bookmarkStart w:id="1664" w:name="_Toc12756"/>
      <w:bookmarkStart w:id="1665" w:name="_Toc1648"/>
      <w:bookmarkStart w:id="1666" w:name="_Toc3056"/>
      <w:r>
        <w:rPr>
          <w:rFonts w:ascii="Times New Roman" w:eastAsia="楷体_GB2312" w:hAnsi="Times New Roman" w:cs="Times New Roman" w:hint="eastAsia"/>
          <w:sz w:val="32"/>
          <w:szCs w:val="32"/>
        </w:rPr>
        <w:t>优化能源供应体系</w:t>
      </w:r>
      <w:bookmarkEnd w:id="1659"/>
      <w:bookmarkEnd w:id="1660"/>
      <w:bookmarkEnd w:id="1661"/>
      <w:bookmarkEnd w:id="1662"/>
      <w:bookmarkEnd w:id="1663"/>
      <w:bookmarkEnd w:id="1664"/>
      <w:bookmarkEnd w:id="1665"/>
      <w:bookmarkEnd w:id="166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控制化石能源消费，大力发展非化石能源，提高可再生能源比例。以天然气、风电、太阳能等为重点，大力发展绿色低碳能源。有序开发陆上风能资源，科学利用海上风能资源。加快清洁能源发展，因地制宜推进生物质能、地热能等新能源利用。实行煤炭消费总量中长期控制目标责任管理。</w:t>
      </w:r>
    </w:p>
    <w:p w:rsidR="00A765C5" w:rsidRDefault="00702EF7">
      <w:pPr>
        <w:snapToGrid w:val="0"/>
        <w:spacing w:line="600" w:lineRule="exact"/>
        <w:ind w:firstLineChars="200" w:firstLine="640"/>
        <w:rPr>
          <w:rFonts w:ascii="Times New Roman" w:hAnsi="Times New Roman" w:cs="Times New Roman"/>
        </w:rPr>
      </w:pPr>
      <w:r>
        <w:rPr>
          <w:rFonts w:ascii="Times New Roman" w:eastAsia="仿宋_GB2312" w:hAnsi="Times New Roman" w:cs="Times New Roman" w:hint="eastAsia"/>
          <w:sz w:val="32"/>
          <w:szCs w:val="32"/>
        </w:rPr>
        <w:t>加强能源储备体系建设，完善能源安全储备制度。加强天然气、油品和煤炭等能源储备，逐步形成统一高效的能源输</w:t>
      </w:r>
      <w:proofErr w:type="gramStart"/>
      <w:r>
        <w:rPr>
          <w:rFonts w:ascii="Times New Roman" w:eastAsia="仿宋_GB2312" w:hAnsi="Times New Roman" w:cs="Times New Roman" w:hint="eastAsia"/>
          <w:sz w:val="32"/>
          <w:szCs w:val="32"/>
        </w:rPr>
        <w:t>配网络</w:t>
      </w:r>
      <w:proofErr w:type="gramEnd"/>
      <w:r>
        <w:rPr>
          <w:rFonts w:ascii="Times New Roman" w:eastAsia="仿宋_GB2312" w:hAnsi="Times New Roman" w:cs="Times New Roman" w:hint="eastAsia"/>
          <w:sz w:val="32"/>
          <w:szCs w:val="32"/>
        </w:rPr>
        <w:t>和应急储备体系。</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67" w:name="_Toc31737"/>
      <w:bookmarkStart w:id="1668" w:name="_Toc20513"/>
      <w:bookmarkStart w:id="1669" w:name="_Toc17702"/>
      <w:bookmarkStart w:id="1670" w:name="_Toc2972"/>
      <w:bookmarkStart w:id="1671" w:name="_Toc14146"/>
      <w:bookmarkStart w:id="1672" w:name="_Toc12874"/>
      <w:bookmarkStart w:id="1673" w:name="_Toc16308"/>
      <w:bookmarkStart w:id="1674" w:name="_Toc19545"/>
      <w:r>
        <w:rPr>
          <w:rFonts w:ascii="Times New Roman" w:eastAsia="楷体_GB2312" w:hAnsi="Times New Roman" w:cs="Times New Roman" w:hint="eastAsia"/>
          <w:sz w:val="32"/>
          <w:szCs w:val="32"/>
        </w:rPr>
        <w:t>建设现代化能源输配网络</w:t>
      </w:r>
      <w:bookmarkEnd w:id="1667"/>
      <w:bookmarkEnd w:id="1668"/>
      <w:bookmarkEnd w:id="1669"/>
      <w:bookmarkEnd w:id="1670"/>
      <w:bookmarkEnd w:id="1671"/>
      <w:bookmarkEnd w:id="1672"/>
      <w:bookmarkEnd w:id="1673"/>
      <w:bookmarkEnd w:id="167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大力推动天然气主干管网、区域管网和互联互通管网建设，加快石油、成品油储备项目和天然气调峰设施建设。加强电网工程和清洁能源接入系统工程建设，持续优化电网结构，促进电源、电网协调发展，提升电网系统运行效率和安全保障水平。加强城乡配电网络建设，提高配电网供电能力和供电质量。推进智慧能源系统建设，加快电网数字化改造升级，推进电网与“大云物移智链”、</w:t>
      </w:r>
      <w:r>
        <w:rPr>
          <w:rFonts w:ascii="Times New Roman" w:eastAsia="仿宋_GB2312" w:hAnsi="Times New Roman" w:cs="Times New Roman" w:hint="eastAsia"/>
          <w:sz w:val="32"/>
          <w:szCs w:val="32"/>
        </w:rPr>
        <w:t>5G</w:t>
      </w:r>
      <w:r>
        <w:rPr>
          <w:rFonts w:ascii="Times New Roman" w:eastAsia="仿宋_GB2312" w:hAnsi="Times New Roman" w:cs="Times New Roman" w:hint="eastAsia"/>
          <w:sz w:val="32"/>
          <w:szCs w:val="32"/>
        </w:rPr>
        <w:t>、北斗等信息通信技术深度融合发展。</w:t>
      </w:r>
    </w:p>
    <w:p w:rsidR="00A765C5" w:rsidRDefault="00702EF7" w:rsidP="006B5E5D">
      <w:pPr>
        <w:pStyle w:val="2"/>
        <w:numPr>
          <w:ilvl w:val="0"/>
          <w:numId w:val="13"/>
        </w:numPr>
        <w:snapToGrid w:val="0"/>
        <w:spacing w:beforeLines="50" w:before="156" w:afterLines="50" w:after="156" w:line="600" w:lineRule="exact"/>
        <w:jc w:val="center"/>
        <w:rPr>
          <w:rFonts w:ascii="Times New Roman" w:eastAsia="黑体" w:hAnsi="Times New Roman"/>
          <w:b w:val="0"/>
          <w:bCs w:val="0"/>
          <w:sz w:val="32"/>
        </w:rPr>
      </w:pPr>
      <w:bookmarkStart w:id="1675" w:name="_Toc2000"/>
      <w:bookmarkStart w:id="1676" w:name="_Toc28982"/>
      <w:bookmarkStart w:id="1677" w:name="_Toc32025"/>
      <w:bookmarkStart w:id="1678" w:name="_Toc25791"/>
      <w:bookmarkStart w:id="1679" w:name="_Toc6073"/>
      <w:bookmarkStart w:id="1680" w:name="_Toc78"/>
      <w:bookmarkStart w:id="1681" w:name="_Toc32377"/>
      <w:bookmarkStart w:id="1682" w:name="_Toc7435"/>
      <w:bookmarkStart w:id="1683" w:name="_Toc11334"/>
      <w:bookmarkStart w:id="1684" w:name="_Toc4848"/>
      <w:r>
        <w:rPr>
          <w:rFonts w:ascii="Times New Roman" w:eastAsia="黑体" w:hAnsi="Times New Roman" w:hint="eastAsia"/>
          <w:b w:val="0"/>
          <w:bCs w:val="0"/>
          <w:sz w:val="32"/>
        </w:rPr>
        <w:lastRenderedPageBreak/>
        <w:t>优化市政公用设施</w:t>
      </w:r>
      <w:bookmarkEnd w:id="1675"/>
      <w:bookmarkEnd w:id="1676"/>
      <w:bookmarkEnd w:id="1677"/>
      <w:r>
        <w:rPr>
          <w:rFonts w:ascii="Times New Roman" w:eastAsia="黑体" w:hAnsi="Times New Roman" w:hint="eastAsia"/>
          <w:b w:val="0"/>
          <w:bCs w:val="0"/>
          <w:sz w:val="32"/>
        </w:rPr>
        <w:t>布局</w:t>
      </w:r>
      <w:bookmarkEnd w:id="1678"/>
      <w:bookmarkEnd w:id="1679"/>
      <w:bookmarkEnd w:id="1680"/>
      <w:bookmarkEnd w:id="1681"/>
      <w:bookmarkEnd w:id="1682"/>
      <w:bookmarkEnd w:id="1683"/>
      <w:bookmarkEnd w:id="1684"/>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85" w:name="_Toc11705"/>
      <w:bookmarkStart w:id="1686" w:name="_Toc14734"/>
      <w:bookmarkStart w:id="1687" w:name="_Toc21846"/>
      <w:bookmarkStart w:id="1688" w:name="_Toc21656"/>
      <w:bookmarkStart w:id="1689" w:name="_Toc14853"/>
      <w:bookmarkStart w:id="1690" w:name="_Toc32013"/>
      <w:bookmarkStart w:id="1691" w:name="_Toc13150"/>
      <w:bookmarkStart w:id="1692" w:name="_Toc21448"/>
      <w:r>
        <w:rPr>
          <w:rFonts w:ascii="Times New Roman" w:eastAsia="楷体_GB2312" w:hAnsi="Times New Roman" w:cs="Times New Roman" w:hint="eastAsia"/>
          <w:sz w:val="32"/>
          <w:szCs w:val="32"/>
        </w:rPr>
        <w:t>给水系统规划</w:t>
      </w:r>
      <w:bookmarkEnd w:id="1685"/>
      <w:bookmarkEnd w:id="1686"/>
      <w:bookmarkEnd w:id="1687"/>
      <w:bookmarkEnd w:id="1688"/>
      <w:bookmarkEnd w:id="1689"/>
      <w:bookmarkEnd w:id="1690"/>
      <w:bookmarkEnd w:id="1691"/>
      <w:bookmarkEnd w:id="169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丹东市域村镇集中供水体系：推进“千吨万人”水源地规范化建设和生态保护工作，改造提升农村集中供水工程，提高供水水质和供水量，划定水源地保护范围，保障农村集中供水安全。</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水源地保护与管控：加快推进城市水源地规范化建设，巩固提升饮用水安全保障水平。进一步强化水源地一级保护区封闭管护和二级保护区风险防范设施建设，建立风险源清单。定期与省市水利等相关部门协调沟通，及时了解东</w:t>
      </w:r>
      <w:proofErr w:type="gramStart"/>
      <w:r>
        <w:rPr>
          <w:rFonts w:ascii="Times New Roman" w:eastAsia="仿宋_GB2312" w:hAnsi="Times New Roman" w:cs="Times New Roman" w:hint="eastAsia"/>
          <w:sz w:val="32"/>
          <w:szCs w:val="32"/>
        </w:rPr>
        <w:t>水济辽等</w:t>
      </w:r>
      <w:proofErr w:type="gramEnd"/>
      <w:r>
        <w:rPr>
          <w:rFonts w:ascii="Times New Roman" w:eastAsia="仿宋_GB2312" w:hAnsi="Times New Roman" w:cs="Times New Roman" w:hint="eastAsia"/>
          <w:sz w:val="32"/>
          <w:szCs w:val="32"/>
        </w:rPr>
        <w:t>跨域输配水工程规划水源、输配水河道、管道走向等项目情况。预留项目建设空间，划定水源地保护区范围，实现对水源地的科学管控。</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693" w:name="_Toc5341"/>
      <w:bookmarkStart w:id="1694" w:name="_Toc3859"/>
      <w:bookmarkStart w:id="1695" w:name="_Toc29732"/>
      <w:bookmarkStart w:id="1696" w:name="_Toc2243"/>
      <w:bookmarkStart w:id="1697" w:name="_Toc1971"/>
      <w:bookmarkStart w:id="1698" w:name="_Toc2154"/>
      <w:bookmarkStart w:id="1699" w:name="_Toc24310"/>
      <w:bookmarkStart w:id="1700" w:name="_Toc16367"/>
      <w:r>
        <w:rPr>
          <w:rFonts w:ascii="Times New Roman" w:eastAsia="楷体_GB2312" w:hAnsi="Times New Roman" w:cs="Times New Roman" w:hint="eastAsia"/>
          <w:sz w:val="32"/>
          <w:szCs w:val="32"/>
        </w:rPr>
        <w:t>污水系统规划</w:t>
      </w:r>
      <w:bookmarkEnd w:id="1693"/>
      <w:bookmarkEnd w:id="1694"/>
      <w:bookmarkEnd w:id="1695"/>
      <w:bookmarkEnd w:id="1696"/>
      <w:bookmarkEnd w:id="1697"/>
      <w:bookmarkEnd w:id="1698"/>
      <w:bookmarkEnd w:id="1699"/>
      <w:bookmarkEnd w:id="170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市域排水干线布局优化：基本实现城市生活污水收集管网基本全覆盖，城镇污水处理能力全覆盖。</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域村镇污水处理体系：城郊村镇或建有工业园区的村镇，镇区污水可就近排入城市或工业园区污水厂；村屯相对集中的村镇可规划共建共享污水处理设施，提高污水设施利用效率；处于水源地保护区、生态敏感区、水源涵养区的村屯，可结合“厕所革命”、农村人居环境整治等项目，采用一体化、自动化污水处理设施完善村屯污水收纳系统。</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市政污泥稳定化、无害化、资源化处置：丹东市辖区及东港市污水厂污泥依托“辽宁丹东市餐厨垃圾、市政污泥与垃圾焚烧发电协同处置项目”进行焚烧处理。</w:t>
      </w:r>
      <w:proofErr w:type="gramStart"/>
      <w:r>
        <w:rPr>
          <w:rFonts w:ascii="Times New Roman" w:eastAsia="仿宋_GB2312" w:hAnsi="Times New Roman" w:cs="Times New Roman" w:hint="eastAsia"/>
          <w:sz w:val="32"/>
          <w:szCs w:val="32"/>
        </w:rPr>
        <w:t>凤</w:t>
      </w:r>
      <w:proofErr w:type="gramEnd"/>
      <w:r>
        <w:rPr>
          <w:rFonts w:ascii="Times New Roman" w:eastAsia="仿宋_GB2312" w:hAnsi="Times New Roman" w:cs="Times New Roman" w:hint="eastAsia"/>
          <w:sz w:val="32"/>
          <w:szCs w:val="32"/>
        </w:rPr>
        <w:t>城市、宽甸满族自治县市政污泥产量相对较小，经科学经济分析评价后，因地制宜选择焚烧或卫生填埋等方式对城市污水厂市政污泥的稳定化、无害化、资源化处置处理。</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01" w:name="_Toc584"/>
      <w:bookmarkStart w:id="1702" w:name="_Toc9629"/>
      <w:bookmarkStart w:id="1703" w:name="_Toc1853"/>
      <w:bookmarkStart w:id="1704" w:name="_Toc1346"/>
      <w:bookmarkStart w:id="1705" w:name="_Toc31630"/>
      <w:bookmarkStart w:id="1706" w:name="_Toc22556"/>
      <w:bookmarkStart w:id="1707" w:name="_Toc999"/>
      <w:bookmarkStart w:id="1708" w:name="_Toc26022"/>
      <w:r>
        <w:rPr>
          <w:rFonts w:ascii="Times New Roman" w:eastAsia="楷体_GB2312" w:hAnsi="Times New Roman" w:cs="Times New Roman" w:hint="eastAsia"/>
          <w:sz w:val="32"/>
          <w:szCs w:val="32"/>
        </w:rPr>
        <w:t>雨水系统规划</w:t>
      </w:r>
      <w:bookmarkEnd w:id="1701"/>
      <w:bookmarkEnd w:id="1702"/>
      <w:bookmarkEnd w:id="1703"/>
      <w:bookmarkEnd w:id="1704"/>
      <w:bookmarkEnd w:id="1705"/>
      <w:bookmarkEnd w:id="1706"/>
      <w:bookmarkEnd w:id="1707"/>
      <w:bookmarkEnd w:id="1708"/>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充分发挥海绵设施功能，削减城市雨水径流产生量，完善以山体截洪沟、雨水管道为骨架，雨水提升泵站为节点，城市快速有力的雨水排放系统。尊重现有水系的排水格局，构建以中心城区河道为骨干，沿河湿地为缓冲，以鸭绿江水系为排水最终</w:t>
      </w:r>
      <w:proofErr w:type="gramStart"/>
      <w:r>
        <w:rPr>
          <w:rFonts w:ascii="Times New Roman" w:eastAsia="仿宋_GB2312" w:hAnsi="Times New Roman" w:cs="Times New Roman" w:hint="eastAsia"/>
          <w:sz w:val="32"/>
          <w:szCs w:val="32"/>
        </w:rPr>
        <w:t>承泄区的</w:t>
      </w:r>
      <w:proofErr w:type="gramEnd"/>
      <w:r>
        <w:rPr>
          <w:rFonts w:ascii="Times New Roman" w:eastAsia="仿宋_GB2312" w:hAnsi="Times New Roman" w:cs="Times New Roman" w:hint="eastAsia"/>
          <w:sz w:val="32"/>
          <w:szCs w:val="32"/>
        </w:rPr>
        <w:t>排水河系格局。一般地区雨水重现期</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年。完善中心城区污水管网，消除雨污管道混接，开展河道生态修复和生态补水工程，提高河道自净能力，恢复河道生境。</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09" w:name="_Toc6579"/>
      <w:bookmarkStart w:id="1710" w:name="_Toc14016"/>
      <w:bookmarkStart w:id="1711" w:name="_Toc14789"/>
      <w:bookmarkStart w:id="1712" w:name="_Toc2059"/>
      <w:bookmarkStart w:id="1713" w:name="_Toc8906"/>
      <w:bookmarkStart w:id="1714" w:name="_Toc26527"/>
      <w:bookmarkStart w:id="1715" w:name="_Toc19610"/>
      <w:bookmarkStart w:id="1716" w:name="_Toc30843"/>
      <w:r>
        <w:rPr>
          <w:rFonts w:ascii="Times New Roman" w:eastAsia="楷体_GB2312" w:hAnsi="Times New Roman" w:cs="Times New Roman" w:hint="eastAsia"/>
          <w:sz w:val="32"/>
          <w:szCs w:val="32"/>
        </w:rPr>
        <w:t>供热工程规划</w:t>
      </w:r>
      <w:bookmarkEnd w:id="1709"/>
      <w:bookmarkEnd w:id="1710"/>
      <w:bookmarkEnd w:id="1711"/>
      <w:bookmarkEnd w:id="1712"/>
      <w:bookmarkEnd w:id="1713"/>
      <w:bookmarkEnd w:id="1714"/>
      <w:bookmarkEnd w:id="1715"/>
      <w:bookmarkEnd w:id="171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充分发挥热电联产设施功能，构建以热电联产为核心、多种清洁能源为辅的城市清洁供暖体系，互联互通的安全供热保障体系，高效、低费、精细的智能供热体系。在条件满足情况下，大力发展天然气、水源热泵、地热源热泵采暖，提高清洁采暖比例，实现能源高效发展利用。</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17" w:name="_Toc31210"/>
      <w:bookmarkStart w:id="1718" w:name="_Toc24494"/>
      <w:bookmarkStart w:id="1719" w:name="_Toc8929"/>
      <w:bookmarkStart w:id="1720" w:name="_Toc18785"/>
      <w:bookmarkStart w:id="1721" w:name="_Toc18877"/>
      <w:bookmarkStart w:id="1722" w:name="_Toc32424"/>
      <w:bookmarkStart w:id="1723" w:name="_Toc23471"/>
      <w:bookmarkStart w:id="1724" w:name="_Toc16081"/>
      <w:r>
        <w:rPr>
          <w:rFonts w:ascii="Times New Roman" w:eastAsia="楷体_GB2312" w:hAnsi="Times New Roman" w:cs="Times New Roman" w:hint="eastAsia"/>
          <w:sz w:val="32"/>
          <w:szCs w:val="32"/>
        </w:rPr>
        <w:lastRenderedPageBreak/>
        <w:t>燃气工程规划</w:t>
      </w:r>
      <w:bookmarkEnd w:id="1717"/>
      <w:bookmarkEnd w:id="1718"/>
      <w:bookmarkEnd w:id="1719"/>
      <w:bookmarkEnd w:id="1720"/>
      <w:bookmarkEnd w:id="1721"/>
      <w:bookmarkEnd w:id="1722"/>
      <w:bookmarkEnd w:id="1723"/>
      <w:bookmarkEnd w:id="1724"/>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乡镇以</w:t>
      </w:r>
      <w:r>
        <w:rPr>
          <w:rFonts w:ascii="Times New Roman" w:eastAsia="仿宋_GB2312" w:hAnsi="Times New Roman" w:cs="Times New Roman" w:hint="eastAsia"/>
          <w:sz w:val="32"/>
          <w:szCs w:val="32"/>
        </w:rPr>
        <w:t>LNG</w:t>
      </w:r>
      <w:r>
        <w:rPr>
          <w:rFonts w:ascii="Times New Roman" w:eastAsia="仿宋_GB2312" w:hAnsi="Times New Roman" w:cs="Times New Roman" w:hint="eastAsia"/>
          <w:sz w:val="32"/>
          <w:szCs w:val="32"/>
        </w:rPr>
        <w:t>瓶组为主要能源，并灵活使用液化石油气等能源。规划天然气管网覆盖丹东市中心城区。</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25" w:name="_Toc23476"/>
      <w:bookmarkStart w:id="1726" w:name="_Toc22745"/>
      <w:bookmarkStart w:id="1727" w:name="_Toc29293"/>
      <w:bookmarkStart w:id="1728" w:name="_Toc4906"/>
      <w:bookmarkStart w:id="1729" w:name="_Toc25891"/>
      <w:bookmarkStart w:id="1730" w:name="_Toc2055"/>
      <w:bookmarkStart w:id="1731" w:name="_Toc25748"/>
      <w:bookmarkStart w:id="1732" w:name="_Toc27525"/>
      <w:r>
        <w:rPr>
          <w:rFonts w:ascii="Times New Roman" w:eastAsia="楷体_GB2312" w:hAnsi="Times New Roman" w:cs="Times New Roman" w:hint="eastAsia"/>
          <w:sz w:val="32"/>
          <w:szCs w:val="32"/>
        </w:rPr>
        <w:t>电力工程规划</w:t>
      </w:r>
      <w:bookmarkEnd w:id="1725"/>
      <w:bookmarkEnd w:id="1726"/>
      <w:bookmarkEnd w:id="1727"/>
      <w:bookmarkEnd w:id="1728"/>
      <w:bookmarkEnd w:id="1729"/>
      <w:bookmarkEnd w:id="1730"/>
      <w:bookmarkEnd w:id="1731"/>
      <w:bookmarkEnd w:id="173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为规划建设的变电站</w:t>
      </w:r>
      <w:proofErr w:type="gramStart"/>
      <w:r>
        <w:rPr>
          <w:rFonts w:ascii="Times New Roman" w:eastAsia="仿宋_GB2312" w:hAnsi="Times New Roman" w:cs="Times New Roman" w:hint="eastAsia"/>
          <w:sz w:val="32"/>
          <w:szCs w:val="32"/>
        </w:rPr>
        <w:t>预留站</w:t>
      </w:r>
      <w:proofErr w:type="gramEnd"/>
      <w:r>
        <w:rPr>
          <w:rFonts w:ascii="Times New Roman" w:eastAsia="仿宋_GB2312" w:hAnsi="Times New Roman" w:cs="Times New Roman" w:hint="eastAsia"/>
          <w:sz w:val="32"/>
          <w:szCs w:val="32"/>
        </w:rPr>
        <w:t>址和线路走廊，并纳入下一层级规划及相关专项规划，加以严格保护。</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33" w:name="_Toc10139"/>
      <w:bookmarkStart w:id="1734" w:name="_Toc28694"/>
      <w:bookmarkStart w:id="1735" w:name="_Toc21173"/>
      <w:bookmarkStart w:id="1736" w:name="_Toc10294"/>
      <w:bookmarkStart w:id="1737" w:name="_Toc19558"/>
      <w:bookmarkStart w:id="1738" w:name="_Toc5350"/>
      <w:bookmarkStart w:id="1739" w:name="_Toc1345"/>
      <w:bookmarkStart w:id="1740" w:name="_Toc29583"/>
      <w:r>
        <w:rPr>
          <w:rFonts w:ascii="Times New Roman" w:eastAsia="楷体_GB2312" w:hAnsi="Times New Roman" w:cs="Times New Roman" w:hint="eastAsia"/>
          <w:sz w:val="32"/>
          <w:szCs w:val="32"/>
        </w:rPr>
        <w:t>电信基础设施规划</w:t>
      </w:r>
      <w:bookmarkEnd w:id="1733"/>
      <w:bookmarkEnd w:id="1734"/>
      <w:bookmarkEnd w:id="1735"/>
      <w:bookmarkEnd w:id="1736"/>
      <w:bookmarkEnd w:id="1737"/>
      <w:bookmarkEnd w:id="1738"/>
      <w:bookmarkEnd w:id="1739"/>
      <w:bookmarkEnd w:id="1740"/>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）千兆网络规划</w:t>
      </w:r>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局所布局规划。</w:t>
      </w:r>
      <w:proofErr w:type="gramStart"/>
      <w:r>
        <w:rPr>
          <w:rFonts w:ascii="Times New Roman" w:eastAsia="仿宋_GB2312" w:hAnsi="Times New Roman" w:cs="Times New Roman" w:hint="eastAsia"/>
          <w:sz w:val="32"/>
          <w:szCs w:val="32"/>
        </w:rPr>
        <w:t>汇聚局</w:t>
      </w:r>
      <w:proofErr w:type="gramEnd"/>
      <w:r>
        <w:rPr>
          <w:rFonts w:ascii="Times New Roman" w:eastAsia="仿宋_GB2312" w:hAnsi="Times New Roman" w:cs="Times New Roman" w:hint="eastAsia"/>
          <w:sz w:val="32"/>
          <w:szCs w:val="32"/>
        </w:rPr>
        <w:t>设置在各县（市）区核心节点处。未来</w:t>
      </w:r>
      <w:r>
        <w:rPr>
          <w:rFonts w:ascii="Times New Roman" w:eastAsia="仿宋_GB2312" w:hAnsi="Times New Roman" w:cs="Times New Roman" w:hint="eastAsia"/>
          <w:sz w:val="32"/>
          <w:szCs w:val="32"/>
        </w:rPr>
        <w:t>5G</w:t>
      </w:r>
      <w:r>
        <w:rPr>
          <w:rFonts w:ascii="Times New Roman" w:eastAsia="仿宋_GB2312" w:hAnsi="Times New Roman" w:cs="Times New Roman" w:hint="eastAsia"/>
          <w:sz w:val="32"/>
          <w:szCs w:val="32"/>
        </w:rPr>
        <w:t>业务量随着智慧城市建设及</w:t>
      </w:r>
      <w:r>
        <w:rPr>
          <w:rFonts w:ascii="Times New Roman" w:eastAsia="仿宋_GB2312" w:hAnsi="Times New Roman" w:cs="Times New Roman" w:hint="eastAsia"/>
          <w:sz w:val="32"/>
          <w:szCs w:val="32"/>
        </w:rPr>
        <w:t>5G</w:t>
      </w:r>
      <w:r>
        <w:rPr>
          <w:rFonts w:ascii="Times New Roman" w:eastAsia="仿宋_GB2312" w:hAnsi="Times New Roman" w:cs="Times New Roman" w:hint="eastAsia"/>
          <w:sz w:val="32"/>
          <w:szCs w:val="32"/>
        </w:rPr>
        <w:t>相关高速无线业务增加，</w:t>
      </w:r>
      <w:proofErr w:type="gramStart"/>
      <w:r>
        <w:rPr>
          <w:rFonts w:ascii="Times New Roman" w:eastAsia="仿宋_GB2312" w:hAnsi="Times New Roman" w:cs="Times New Roman" w:hint="eastAsia"/>
          <w:sz w:val="32"/>
          <w:szCs w:val="32"/>
        </w:rPr>
        <w:t>预测市</w:t>
      </w:r>
      <w:proofErr w:type="gramEnd"/>
      <w:r>
        <w:rPr>
          <w:rFonts w:ascii="Times New Roman" w:eastAsia="仿宋_GB2312" w:hAnsi="Times New Roman" w:cs="Times New Roman" w:hint="eastAsia"/>
          <w:sz w:val="32"/>
          <w:szCs w:val="32"/>
        </w:rPr>
        <w:t>域范围内改建及新建</w:t>
      </w:r>
      <w:proofErr w:type="gramStart"/>
      <w:r>
        <w:rPr>
          <w:rFonts w:ascii="Times New Roman" w:eastAsia="仿宋_GB2312" w:hAnsi="Times New Roman" w:cs="Times New Roman" w:hint="eastAsia"/>
          <w:sz w:val="32"/>
          <w:szCs w:val="32"/>
        </w:rPr>
        <w:t>汇聚局</w:t>
      </w:r>
      <w:proofErr w:type="gramEnd"/>
      <w:r>
        <w:rPr>
          <w:rFonts w:ascii="Times New Roman" w:eastAsia="仿宋_GB2312" w:hAnsi="Times New Roman" w:cs="Times New Roman" w:hint="eastAsia"/>
          <w:sz w:val="32"/>
          <w:szCs w:val="32"/>
        </w:rPr>
        <w:t>35</w:t>
      </w:r>
      <w:r>
        <w:rPr>
          <w:rFonts w:ascii="Times New Roman" w:eastAsia="仿宋_GB2312" w:hAnsi="Times New Roman" w:cs="Times New Roman" w:hint="eastAsia"/>
          <w:sz w:val="32"/>
          <w:szCs w:val="32"/>
        </w:rPr>
        <w:t>处。业务密集区域可适当增加</w:t>
      </w:r>
      <w:proofErr w:type="gramStart"/>
      <w:r>
        <w:rPr>
          <w:rFonts w:ascii="Times New Roman" w:eastAsia="仿宋_GB2312" w:hAnsi="Times New Roman" w:cs="Times New Roman" w:hint="eastAsia"/>
          <w:sz w:val="32"/>
          <w:szCs w:val="32"/>
        </w:rPr>
        <w:t>接入局数量</w:t>
      </w:r>
      <w:proofErr w:type="gramEnd"/>
      <w:r>
        <w:rPr>
          <w:rFonts w:ascii="Times New Roman" w:eastAsia="仿宋_GB2312" w:hAnsi="Times New Roman" w:cs="Times New Roman" w:hint="eastAsia"/>
          <w:sz w:val="32"/>
          <w:szCs w:val="32"/>
        </w:rPr>
        <w:t>或提高机房面积。</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管道布局规划。新建局房应</w:t>
      </w:r>
      <w:proofErr w:type="gramStart"/>
      <w:r>
        <w:rPr>
          <w:rFonts w:ascii="Times New Roman" w:eastAsia="仿宋_GB2312" w:hAnsi="Times New Roman" w:cs="Times New Roman" w:hint="eastAsia"/>
          <w:sz w:val="32"/>
          <w:szCs w:val="32"/>
        </w:rPr>
        <w:t>结合局</w:t>
      </w:r>
      <w:proofErr w:type="gramEnd"/>
      <w:r>
        <w:rPr>
          <w:rFonts w:ascii="Times New Roman" w:eastAsia="仿宋_GB2312" w:hAnsi="Times New Roman" w:cs="Times New Roman" w:hint="eastAsia"/>
          <w:sz w:val="32"/>
          <w:szCs w:val="32"/>
        </w:rPr>
        <w:t>房定位、布局、容量以及覆盖用户规模，设</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个出局管道路由。</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5G</w:t>
      </w:r>
      <w:r>
        <w:rPr>
          <w:rFonts w:ascii="Times New Roman" w:eastAsia="仿宋_GB2312" w:hAnsi="Times New Roman" w:cs="Times New Roman" w:hint="eastAsia"/>
          <w:sz w:val="32"/>
          <w:szCs w:val="32"/>
        </w:rPr>
        <w:t>基站规划：充分利用既有</w:t>
      </w:r>
      <w:proofErr w:type="gramStart"/>
      <w:r>
        <w:rPr>
          <w:rFonts w:ascii="Times New Roman" w:eastAsia="仿宋_GB2312" w:hAnsi="Times New Roman" w:cs="Times New Roman" w:hint="eastAsia"/>
          <w:sz w:val="32"/>
          <w:szCs w:val="32"/>
        </w:rPr>
        <w:t>基站共址建设</w:t>
      </w:r>
      <w:proofErr w:type="gramEnd"/>
      <w:r>
        <w:rPr>
          <w:rFonts w:ascii="Times New Roman" w:eastAsia="仿宋_GB2312" w:hAnsi="Times New Roman" w:cs="Times New Roman" w:hint="eastAsia"/>
          <w:sz w:val="32"/>
          <w:szCs w:val="32"/>
        </w:rPr>
        <w:t>，新建基站站</w:t>
      </w:r>
      <w:proofErr w:type="gramStart"/>
      <w:r>
        <w:rPr>
          <w:rFonts w:ascii="Times New Roman" w:eastAsia="仿宋_GB2312" w:hAnsi="Times New Roman" w:cs="Times New Roman" w:hint="eastAsia"/>
          <w:sz w:val="32"/>
          <w:szCs w:val="32"/>
        </w:rPr>
        <w:t>址</w:t>
      </w:r>
      <w:proofErr w:type="gramEnd"/>
      <w:r>
        <w:rPr>
          <w:rFonts w:ascii="Times New Roman" w:eastAsia="仿宋_GB2312" w:hAnsi="Times New Roman" w:cs="Times New Roman" w:hint="eastAsia"/>
          <w:sz w:val="32"/>
          <w:szCs w:val="32"/>
        </w:rPr>
        <w:t>优先结合公共建筑顶层空间设置。基站机柜优先结合建筑空间设施，无可依托建筑时，基站机柜应小型化、美观化设置。城镇发展区内，站址应充分利用城市公共设施资源，优先与建筑物、灯杆等结合建设；在其他区域采用多种灵活建设方式开展基站建设，如结合有条件的路灯杆、道路指示牌或建设落地塔（杆）等。</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）推进通信基础设施建设落实：充分发挥规划引领作用，推动“双千兆”网络基础设施、机房及管线、电力等配套设施建设，</w:t>
      </w:r>
      <w:r>
        <w:rPr>
          <w:rFonts w:ascii="Times New Roman" w:eastAsia="仿宋_GB2312" w:hAnsi="Times New Roman" w:cs="Times New Roman" w:hint="eastAsia"/>
          <w:sz w:val="32"/>
          <w:szCs w:val="32"/>
        </w:rPr>
        <w:t>5G</w:t>
      </w:r>
      <w:r>
        <w:rPr>
          <w:rFonts w:ascii="Times New Roman" w:eastAsia="仿宋_GB2312" w:hAnsi="Times New Roman" w:cs="Times New Roman" w:hint="eastAsia"/>
          <w:sz w:val="32"/>
          <w:szCs w:val="32"/>
        </w:rPr>
        <w:t>基站站址、机房及通信管线等设施位置和配建要求在国土空间控制性详细规划中予以明确，将其纳入国土空间规划“一张图”实施监督信息系统，并列入土地出让条件。</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41" w:name="_Toc17700"/>
      <w:bookmarkStart w:id="1742" w:name="_Toc32624"/>
      <w:bookmarkStart w:id="1743" w:name="_Toc517"/>
      <w:bookmarkStart w:id="1744" w:name="_Toc16346"/>
      <w:bookmarkStart w:id="1745" w:name="_Toc7819"/>
      <w:bookmarkStart w:id="1746" w:name="_Toc28045"/>
      <w:bookmarkStart w:id="1747" w:name="_Toc31347"/>
      <w:bookmarkStart w:id="1748" w:name="_Toc8145"/>
      <w:r>
        <w:rPr>
          <w:rFonts w:ascii="Times New Roman" w:eastAsia="楷体_GB2312" w:hAnsi="Times New Roman" w:cs="Times New Roman" w:hint="eastAsia"/>
          <w:sz w:val="32"/>
          <w:szCs w:val="32"/>
        </w:rPr>
        <w:t>环卫工程规划</w:t>
      </w:r>
      <w:bookmarkEnd w:id="1741"/>
      <w:bookmarkEnd w:id="1742"/>
      <w:bookmarkEnd w:id="1743"/>
      <w:bookmarkEnd w:id="1744"/>
      <w:bookmarkEnd w:id="1745"/>
      <w:bookmarkEnd w:id="1746"/>
      <w:bookmarkEnd w:id="1747"/>
      <w:bookmarkEnd w:id="1748"/>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强化垃圾分类体系建设，完善末端垃圾焚烧及无害化处置，建设以城市垃圾分类为源头控制，以智慧环卫为过程控制，以垃圾焚烧及无害化处置为末端控制的无废城市。</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垃圾填埋场改造。将丹东市同兴垃圾填埋场、东港市</w:t>
      </w:r>
      <w:proofErr w:type="gramStart"/>
      <w:r>
        <w:rPr>
          <w:rFonts w:ascii="Times New Roman" w:eastAsia="仿宋_GB2312" w:hAnsi="Times New Roman" w:cs="Times New Roman" w:hint="eastAsia"/>
          <w:sz w:val="32"/>
          <w:szCs w:val="32"/>
        </w:rPr>
        <w:t>赤榆城市</w:t>
      </w:r>
      <w:proofErr w:type="gramEnd"/>
      <w:r>
        <w:rPr>
          <w:rFonts w:ascii="Times New Roman" w:eastAsia="仿宋_GB2312" w:hAnsi="Times New Roman" w:cs="Times New Roman" w:hint="eastAsia"/>
          <w:sz w:val="32"/>
          <w:szCs w:val="32"/>
        </w:rPr>
        <w:t>垃圾卫生填埋场、凤城市生活垃圾填埋场、宽甸满族自治县生活垃圾</w:t>
      </w:r>
      <w:proofErr w:type="gramStart"/>
      <w:r>
        <w:rPr>
          <w:rFonts w:ascii="Times New Roman" w:eastAsia="仿宋_GB2312" w:hAnsi="Times New Roman" w:cs="Times New Roman" w:hint="eastAsia"/>
          <w:sz w:val="32"/>
          <w:szCs w:val="32"/>
        </w:rPr>
        <w:t>排放场</w:t>
      </w:r>
      <w:proofErr w:type="gramEnd"/>
      <w:r>
        <w:rPr>
          <w:rFonts w:ascii="Times New Roman" w:eastAsia="仿宋_GB2312" w:hAnsi="Times New Roman" w:cs="Times New Roman" w:hint="eastAsia"/>
          <w:sz w:val="32"/>
          <w:szCs w:val="32"/>
        </w:rPr>
        <w:t>进行封场、改造处理。各区域垃圾焚烧厂投入使用后，已达到封场要求的场区，需按照《生活垃圾卫生填埋场封场技术规范》（</w:t>
      </w:r>
      <w:r>
        <w:rPr>
          <w:rFonts w:ascii="Times New Roman" w:eastAsia="仿宋_GB2312" w:hAnsi="Times New Roman" w:cs="Times New Roman" w:hint="eastAsia"/>
          <w:sz w:val="32"/>
          <w:szCs w:val="32"/>
        </w:rPr>
        <w:t>GB51220-2017</w:t>
      </w:r>
      <w:r>
        <w:rPr>
          <w:rFonts w:ascii="Times New Roman" w:eastAsia="仿宋_GB2312" w:hAnsi="Times New Roman" w:cs="Times New Roman" w:hint="eastAsia"/>
          <w:sz w:val="32"/>
          <w:szCs w:val="32"/>
        </w:rPr>
        <w:t>）标准，对场区进行封场处理，后期做好渗滤液的实时监控与处理，建立完善的填埋气导气系统，在封场区域进行泥土覆盖，</w:t>
      </w:r>
      <w:proofErr w:type="gramStart"/>
      <w:r>
        <w:rPr>
          <w:rFonts w:ascii="Times New Roman" w:eastAsia="仿宋_GB2312" w:hAnsi="Times New Roman" w:cs="Times New Roman" w:hint="eastAsia"/>
          <w:sz w:val="32"/>
          <w:szCs w:val="32"/>
        </w:rPr>
        <w:t>推进复绿工作</w:t>
      </w:r>
      <w:proofErr w:type="gramEnd"/>
      <w:r>
        <w:rPr>
          <w:rFonts w:ascii="Times New Roman" w:eastAsia="仿宋_GB2312" w:hAnsi="Times New Roman" w:cs="Times New Roman" w:hint="eastAsia"/>
          <w:sz w:val="32"/>
          <w:szCs w:val="32"/>
        </w:rPr>
        <w:t>。未到达封场要求的场区，可接收垃圾焚烧发电厂产生的飞灰进行无害化处理以及作为各区域应急保障生活垃圾处理场所。</w:t>
      </w:r>
    </w:p>
    <w:p w:rsidR="00A765C5" w:rsidRDefault="00702EF7">
      <w:pPr>
        <w:snapToGrid w:val="0"/>
        <w:spacing w:line="60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垃圾焚烧发电厂和餐厨垃圾处置规划。各市、县分别新建垃圾焚烧发电厂和餐厨垃圾处理厂各一座。</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到</w:t>
      </w:r>
      <w:r>
        <w:rPr>
          <w:rFonts w:ascii="Times New Roman" w:eastAsia="仿宋_GB2312" w:hAnsi="Times New Roman" w:cs="Times New Roman" w:hint="eastAsia"/>
          <w:sz w:val="32"/>
          <w:szCs w:val="32"/>
        </w:rPr>
        <w:t>2035</w:t>
      </w:r>
      <w:r>
        <w:rPr>
          <w:rFonts w:ascii="Times New Roman" w:eastAsia="仿宋_GB2312" w:hAnsi="Times New Roman" w:cs="Times New Roman" w:hint="eastAsia"/>
          <w:sz w:val="32"/>
          <w:szCs w:val="32"/>
        </w:rPr>
        <w:t>年，丹东市中心城区生活垃圾全面实现无害化处理，城乡生活垃圾处理接近发达国家平均水平，全面实行生活垃圾分类收集、处置。</w:t>
      </w:r>
      <w:bookmarkStart w:id="1749" w:name="_bookmark143"/>
      <w:bookmarkEnd w:id="1749"/>
    </w:p>
    <w:p w:rsidR="00A765C5" w:rsidRDefault="00702EF7" w:rsidP="006B5E5D">
      <w:pPr>
        <w:pStyle w:val="2"/>
        <w:numPr>
          <w:ilvl w:val="0"/>
          <w:numId w:val="13"/>
        </w:numPr>
        <w:snapToGrid w:val="0"/>
        <w:spacing w:beforeLines="50" w:before="156" w:afterLines="50" w:after="156" w:line="600" w:lineRule="exact"/>
        <w:jc w:val="center"/>
        <w:rPr>
          <w:rFonts w:ascii="Times New Roman" w:eastAsia="黑体" w:hAnsi="Times New Roman"/>
          <w:b w:val="0"/>
          <w:bCs w:val="0"/>
          <w:sz w:val="32"/>
        </w:rPr>
      </w:pPr>
      <w:bookmarkStart w:id="1750" w:name="_Toc20878"/>
      <w:bookmarkStart w:id="1751" w:name="_Toc11805"/>
      <w:bookmarkStart w:id="1752" w:name="_Toc2580"/>
      <w:bookmarkStart w:id="1753" w:name="_Toc13323"/>
      <w:bookmarkStart w:id="1754" w:name="_Toc26145"/>
      <w:bookmarkStart w:id="1755" w:name="_Toc19732"/>
      <w:bookmarkStart w:id="1756" w:name="_Toc16639"/>
      <w:bookmarkStart w:id="1757" w:name="_Toc29903"/>
      <w:bookmarkStart w:id="1758" w:name="_Toc20623"/>
      <w:bookmarkStart w:id="1759" w:name="_Toc28086"/>
      <w:r>
        <w:rPr>
          <w:rFonts w:ascii="Times New Roman" w:eastAsia="黑体" w:hAnsi="Times New Roman" w:hint="eastAsia"/>
          <w:b w:val="0"/>
          <w:bCs w:val="0"/>
          <w:sz w:val="32"/>
        </w:rPr>
        <w:t>增强国土空间防灾</w:t>
      </w:r>
      <w:bookmarkEnd w:id="1750"/>
      <w:bookmarkEnd w:id="1751"/>
      <w:bookmarkEnd w:id="1752"/>
      <w:r>
        <w:rPr>
          <w:rFonts w:ascii="Times New Roman" w:eastAsia="黑体" w:hAnsi="Times New Roman" w:hint="eastAsia"/>
          <w:b w:val="0"/>
          <w:bCs w:val="0"/>
          <w:sz w:val="32"/>
        </w:rPr>
        <w:t>减灾能力</w:t>
      </w:r>
      <w:bookmarkEnd w:id="1753"/>
      <w:bookmarkEnd w:id="1754"/>
      <w:bookmarkEnd w:id="1755"/>
      <w:bookmarkEnd w:id="1756"/>
      <w:bookmarkEnd w:id="1757"/>
      <w:bookmarkEnd w:id="1758"/>
      <w:bookmarkEnd w:id="1759"/>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1760" w:name="_Toc2911"/>
      <w:bookmarkStart w:id="1761" w:name="_Toc32728"/>
      <w:bookmarkStart w:id="1762" w:name="_Toc23577"/>
      <w:bookmarkStart w:id="1763" w:name="_Toc2883"/>
      <w:bookmarkStart w:id="1764" w:name="_Toc15302"/>
      <w:bookmarkStart w:id="1765" w:name="_Toc28828"/>
      <w:r>
        <w:rPr>
          <w:rFonts w:ascii="Times New Roman" w:eastAsia="仿宋_GB2312" w:hAnsi="Times New Roman" w:cs="Times New Roman" w:hint="eastAsia"/>
          <w:sz w:val="32"/>
          <w:szCs w:val="32"/>
        </w:rPr>
        <w:t>运用科学的管理手段，依靠先进的科技水平及社会防范措施，加快建立、健全综合防灾减灾体系，打造韧性城市，形成协调统一的综合防灾减灾机制。</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66" w:name="_Toc20229"/>
      <w:bookmarkStart w:id="1767" w:name="_Toc2563"/>
      <w:r>
        <w:rPr>
          <w:rFonts w:ascii="Times New Roman" w:eastAsia="楷体_GB2312" w:hAnsi="Times New Roman" w:cs="Times New Roman" w:hint="eastAsia"/>
          <w:sz w:val="32"/>
          <w:szCs w:val="32"/>
        </w:rPr>
        <w:t>积极应对自然灾害</w:t>
      </w:r>
      <w:bookmarkEnd w:id="1760"/>
      <w:bookmarkEnd w:id="1761"/>
      <w:bookmarkEnd w:id="1762"/>
      <w:bookmarkEnd w:id="1763"/>
      <w:bookmarkEnd w:id="1764"/>
      <w:bookmarkEnd w:id="1765"/>
      <w:bookmarkEnd w:id="1766"/>
      <w:bookmarkEnd w:id="176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）抗震防灾规划</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编制完善的地震易发区抗震防灾专项规划，依据地震灾害风险普查工作成果实施地震灾害精细化评估、重点隐患排查及风险防范治理，提升地震灾害防御能力；开展城市地震活动断层精细探查和危险性评价，划定地震灾害高风险区域和活断层避让区域，实施严格管控。</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地震重点监视防御区国土空间规划和用途管制，严格落实新建工程地震安全性评价管理制度，严格把控用地审批和规划审查环节地震安全性评价工作，涉及重大建设工程和可能发生严重次生灾害的建设工程，应当按照国家法律和国务院有关规定进行地震安全性评估，并按照经审定的地震安全性评价报告所确定的抗震设防要求进行抗震设防。已经建成的、未采取抗震设防措施或者抗震设防措施未达到抗震设防要求的建设工程，应当按照国家有关规定进行抗震性能</w:t>
      </w:r>
      <w:r>
        <w:rPr>
          <w:rFonts w:ascii="Times New Roman" w:eastAsia="仿宋_GB2312" w:hAnsi="Times New Roman" w:cs="Times New Roman" w:hint="eastAsia"/>
          <w:sz w:val="32"/>
          <w:szCs w:val="32"/>
        </w:rPr>
        <w:lastRenderedPageBreak/>
        <w:t>鉴定，并采取必要的抗震加固措施。建立临时、中心和远程疏散地相结合的避震疏散体系。利用各类公园、广场、绿地、学校操场等开敞场地作为中心城区避震疏散场地，新建的住宅区、工厂企业等单位，要按有关要求设置绿地和其他公共空间。为保证震前应急和抢险救灾，按中心城区内街道办事处（镇）划分若干抗震救灾小区，各小区所在街道办事处和公安派出所组成抗震救灾指挥部。小区内下设若干抗震救灾片（按居委会、户籍片划分）。</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）防洪排涝规划</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划定洪涝风险控制线。洪涝风险控制线包括</w:t>
      </w:r>
      <w:proofErr w:type="gramStart"/>
      <w:r>
        <w:rPr>
          <w:rFonts w:ascii="Times New Roman" w:eastAsia="仿宋_GB2312" w:hAnsi="Times New Roman" w:cs="Times New Roman" w:hint="eastAsia"/>
          <w:sz w:val="32"/>
          <w:szCs w:val="32"/>
        </w:rPr>
        <w:t>雨洪水蓄</w:t>
      </w:r>
      <w:proofErr w:type="gramEnd"/>
      <w:r>
        <w:rPr>
          <w:rFonts w:ascii="Times New Roman" w:eastAsia="仿宋_GB2312" w:hAnsi="Times New Roman" w:cs="Times New Roman" w:hint="eastAsia"/>
          <w:sz w:val="32"/>
          <w:szCs w:val="32"/>
        </w:rPr>
        <w:t>滞和行泄的自然空间和重大调</w:t>
      </w:r>
      <w:proofErr w:type="gramStart"/>
      <w:r>
        <w:rPr>
          <w:rFonts w:ascii="Times New Roman" w:eastAsia="仿宋_GB2312" w:hAnsi="Times New Roman" w:cs="Times New Roman" w:hint="eastAsia"/>
          <w:sz w:val="32"/>
          <w:szCs w:val="32"/>
        </w:rPr>
        <w:t>蓄</w:t>
      </w:r>
      <w:proofErr w:type="gramEnd"/>
      <w:r>
        <w:rPr>
          <w:rFonts w:ascii="Times New Roman" w:eastAsia="仿宋_GB2312" w:hAnsi="Times New Roman" w:cs="Times New Roman" w:hint="eastAsia"/>
          <w:sz w:val="32"/>
          <w:szCs w:val="32"/>
        </w:rPr>
        <w:t>设施用地，具体包括</w:t>
      </w:r>
      <w:proofErr w:type="gramStart"/>
      <w:r>
        <w:rPr>
          <w:rFonts w:ascii="Times New Roman" w:eastAsia="仿宋_GB2312" w:hAnsi="Times New Roman" w:cs="Times New Roman" w:hint="eastAsia"/>
          <w:sz w:val="32"/>
          <w:szCs w:val="32"/>
        </w:rPr>
        <w:t>蓄</w:t>
      </w:r>
      <w:proofErr w:type="gramEnd"/>
      <w:r>
        <w:rPr>
          <w:rFonts w:ascii="Times New Roman" w:eastAsia="仿宋_GB2312" w:hAnsi="Times New Roman" w:cs="Times New Roman" w:hint="eastAsia"/>
          <w:sz w:val="32"/>
          <w:szCs w:val="32"/>
        </w:rPr>
        <w:t>滞洪区、</w:t>
      </w:r>
      <w:proofErr w:type="gramStart"/>
      <w:r>
        <w:rPr>
          <w:rFonts w:ascii="Times New Roman" w:eastAsia="仿宋_GB2312" w:hAnsi="Times New Roman" w:cs="Times New Roman" w:hint="eastAsia"/>
          <w:sz w:val="32"/>
          <w:szCs w:val="32"/>
        </w:rPr>
        <w:t>涝水行</w:t>
      </w:r>
      <w:proofErr w:type="gramEnd"/>
      <w:r>
        <w:rPr>
          <w:rFonts w:ascii="Times New Roman" w:eastAsia="仿宋_GB2312" w:hAnsi="Times New Roman" w:cs="Times New Roman" w:hint="eastAsia"/>
          <w:sz w:val="32"/>
          <w:szCs w:val="32"/>
        </w:rPr>
        <w:t>泄通道、蓄洪水库、湿地、绿地洼地以及具备雨水</w:t>
      </w:r>
      <w:proofErr w:type="gramStart"/>
      <w:r>
        <w:rPr>
          <w:rFonts w:ascii="Times New Roman" w:eastAsia="仿宋_GB2312" w:hAnsi="Times New Roman" w:cs="Times New Roman" w:hint="eastAsia"/>
          <w:sz w:val="32"/>
          <w:szCs w:val="32"/>
        </w:rPr>
        <w:t>蓄排功能</w:t>
      </w:r>
      <w:proofErr w:type="gramEnd"/>
      <w:r>
        <w:rPr>
          <w:rFonts w:ascii="Times New Roman" w:eastAsia="仿宋_GB2312" w:hAnsi="Times New Roman" w:cs="Times New Roman" w:hint="eastAsia"/>
          <w:sz w:val="32"/>
          <w:szCs w:val="32"/>
        </w:rPr>
        <w:t>的地下调</w:t>
      </w:r>
      <w:proofErr w:type="gramStart"/>
      <w:r>
        <w:rPr>
          <w:rFonts w:ascii="Times New Roman" w:eastAsia="仿宋_GB2312" w:hAnsi="Times New Roman" w:cs="Times New Roman" w:hint="eastAsia"/>
          <w:sz w:val="32"/>
          <w:szCs w:val="32"/>
        </w:rPr>
        <w:t>蓄</w:t>
      </w:r>
      <w:proofErr w:type="gramEnd"/>
      <w:r>
        <w:rPr>
          <w:rFonts w:ascii="Times New Roman" w:eastAsia="仿宋_GB2312" w:hAnsi="Times New Roman" w:cs="Times New Roman" w:hint="eastAsia"/>
          <w:sz w:val="32"/>
          <w:szCs w:val="32"/>
        </w:rPr>
        <w:t>设施和隧道等预留空间。以河湖划界成果为基础，结合河流防洪排涝标准、三年一遇洪水淹没线数据，对半拉江、蒲石河、大洋河、浑江、爱河、土牛河、山羊峪河、草河等流域面积大于</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平方千米的部分河流以及土门子水库、铁甲水库划定洪涝风险控制线，具体洪涝风险控制线在详细规划中落实。洪涝风险控制线内严格限制影响防洪排涝系统完整性和通达性的行为，禁止修建阻碍行洪的各类建筑物。结合灾害防治工程建设进度实时调整风险管控范围，引导各项建设避开灾害风险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充分保障大洋河</w:t>
      </w:r>
      <w:r>
        <w:rPr>
          <w:rFonts w:ascii="Times New Roman" w:eastAsia="仿宋_GB2312" w:hAnsi="Times New Roman" w:cs="Times New Roman" w:hint="eastAsia"/>
          <w:sz w:val="32"/>
          <w:szCs w:val="32"/>
        </w:rPr>
        <w:t>II</w:t>
      </w:r>
      <w:proofErr w:type="gramStart"/>
      <w:r>
        <w:rPr>
          <w:rFonts w:ascii="Times New Roman" w:eastAsia="仿宋_GB2312" w:hAnsi="Times New Roman" w:cs="Times New Roman" w:hint="eastAsia"/>
          <w:sz w:val="32"/>
          <w:szCs w:val="32"/>
        </w:rPr>
        <w:t>期治理</w:t>
      </w:r>
      <w:proofErr w:type="gramEnd"/>
      <w:r>
        <w:rPr>
          <w:rFonts w:ascii="Times New Roman" w:eastAsia="仿宋_GB2312" w:hAnsi="Times New Roman" w:cs="Times New Roman" w:hint="eastAsia"/>
          <w:sz w:val="32"/>
          <w:szCs w:val="32"/>
        </w:rPr>
        <w:t>工程、城市内河水系连通工程等建设空间。提升大洋河、爱河防洪能力，加高、加固干流</w:t>
      </w:r>
      <w:r>
        <w:rPr>
          <w:rFonts w:ascii="Times New Roman" w:eastAsia="仿宋_GB2312" w:hAnsi="Times New Roman" w:cs="Times New Roman" w:hint="eastAsia"/>
          <w:sz w:val="32"/>
          <w:szCs w:val="32"/>
        </w:rPr>
        <w:lastRenderedPageBreak/>
        <w:t>现有堤防，无堤段合理新建堤防，提高防洪标准。加强重点中小河流治理工程和堤防加固工程。实施大中型病险水库水闸除险加固工程，推进柳林河挡潮闸、石佛闸等病险水闸的加固工作，实施铁甲、何家岗、刁家坝等水库除险加固，消除安全隐患。加强山洪灾害防治，加快东港市杨家河、凤城市四</w:t>
      </w:r>
      <w:proofErr w:type="gramStart"/>
      <w:r>
        <w:rPr>
          <w:rFonts w:ascii="Times New Roman" w:eastAsia="仿宋_GB2312" w:hAnsi="Times New Roman" w:cs="Times New Roman" w:hint="eastAsia"/>
          <w:sz w:val="32"/>
          <w:szCs w:val="32"/>
        </w:rPr>
        <w:t>门子镇方家</w:t>
      </w:r>
      <w:proofErr w:type="gramEnd"/>
      <w:r>
        <w:rPr>
          <w:rFonts w:ascii="Times New Roman" w:eastAsia="仿宋_GB2312" w:hAnsi="Times New Roman" w:cs="Times New Roman" w:hint="eastAsia"/>
          <w:sz w:val="32"/>
          <w:szCs w:val="32"/>
        </w:rPr>
        <w:t>河、宽甸满族自治县台沟河等重点山洪沟治理工程，完善山洪灾害非工程措施建设，加快山洪灾害防治系统建设。</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）消防规划</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城市层面建立满足现代城市发展和市场经济需求的城市消防安全体系，对城市消防安全布局和城市公共消防设施统筹规划；乡镇层面推进乡村公共消防设施与乡村基础设施同步建设，并在乡镇级国土空间规划中予以落实到位。</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）气象灾害防御</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完善气象灾害防灾减灾体系，加强重大气象灾害风险区划和评估，尤其做好暴雨、台风、暴雪、大雾、大风、强对流天气等灾害防御。加强气象灾害预警信息传播设施建设，向公众传播气象灾害预警信息。</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气象设施和气象探测环境保护，高空气象观测站、天气雷达站、气象卫星地面站、区域气象观测站和单独设立的气象探测设施探测环境的保护，应严格执行国家规定的保护范围和要求。涉及安全的重大规划与重点工程项目建设前要开展气候可行性论证，科学规范评估气象灾害及气候变化</w:t>
      </w:r>
      <w:r>
        <w:rPr>
          <w:rFonts w:ascii="Times New Roman" w:eastAsia="仿宋_GB2312" w:hAnsi="Times New Roman" w:cs="Times New Roman" w:hint="eastAsia"/>
          <w:sz w:val="32"/>
          <w:szCs w:val="32"/>
        </w:rPr>
        <w:lastRenderedPageBreak/>
        <w:t>对重大规划工程可能产生的影响，发挥气候可行性论证在合理利用气候资源和防灾避灾减灾方面趋利避害的重要作用。</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）地质灾害应对</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推进地质灾害详细调查和风险评价工作，针对主要地质灾害风险，积极开展地质灾害治理。对规模小、危害较轻、治理技术难度小和新增的地质灾害</w:t>
      </w:r>
      <w:proofErr w:type="gramStart"/>
      <w:r>
        <w:rPr>
          <w:rFonts w:ascii="Times New Roman" w:eastAsia="仿宋_GB2312" w:hAnsi="Times New Roman" w:cs="Times New Roman" w:hint="eastAsia"/>
          <w:sz w:val="32"/>
          <w:szCs w:val="32"/>
        </w:rPr>
        <w:t>点实施</w:t>
      </w:r>
      <w:proofErr w:type="gramEnd"/>
      <w:r>
        <w:rPr>
          <w:rFonts w:ascii="Times New Roman" w:eastAsia="仿宋_GB2312" w:hAnsi="Times New Roman" w:cs="Times New Roman" w:hint="eastAsia"/>
          <w:sz w:val="32"/>
          <w:szCs w:val="32"/>
        </w:rPr>
        <w:t>应急调查、排险，消除隐患。对规模较大、稳定性差、危害严重</w:t>
      </w:r>
      <w:proofErr w:type="gramStart"/>
      <w:r>
        <w:rPr>
          <w:rFonts w:ascii="Times New Roman" w:eastAsia="仿宋_GB2312" w:hAnsi="Times New Roman" w:cs="Times New Roman" w:hint="eastAsia"/>
          <w:sz w:val="32"/>
          <w:szCs w:val="32"/>
        </w:rPr>
        <w:t>且治理</w:t>
      </w:r>
      <w:proofErr w:type="gramEnd"/>
      <w:r>
        <w:rPr>
          <w:rFonts w:ascii="Times New Roman" w:eastAsia="仿宋_GB2312" w:hAnsi="Times New Roman" w:cs="Times New Roman" w:hint="eastAsia"/>
          <w:sz w:val="32"/>
          <w:szCs w:val="32"/>
        </w:rPr>
        <w:t>费用远小于预期损失值的地质灾害隐患点，依据轻重缓急，分期、分批实施工程勘查设计施工治理，重点开展宽</w:t>
      </w:r>
      <w:proofErr w:type="gramStart"/>
      <w:r>
        <w:rPr>
          <w:rFonts w:ascii="Times New Roman" w:eastAsia="仿宋_GB2312" w:hAnsi="Times New Roman" w:cs="Times New Roman" w:hint="eastAsia"/>
          <w:sz w:val="32"/>
          <w:szCs w:val="32"/>
        </w:rPr>
        <w:t>甸</w:t>
      </w:r>
      <w:proofErr w:type="gramEnd"/>
      <w:r>
        <w:rPr>
          <w:rFonts w:ascii="Times New Roman" w:eastAsia="仿宋_GB2312" w:hAnsi="Times New Roman" w:cs="Times New Roman" w:hint="eastAsia"/>
          <w:sz w:val="32"/>
          <w:szCs w:val="32"/>
        </w:rPr>
        <w:t>满族自治县石湖沟乡</w:t>
      </w:r>
      <w:proofErr w:type="gramStart"/>
      <w:r>
        <w:rPr>
          <w:rFonts w:ascii="Times New Roman" w:eastAsia="仿宋_GB2312" w:hAnsi="Times New Roman" w:cs="Times New Roman" w:hint="eastAsia"/>
          <w:sz w:val="32"/>
          <w:szCs w:val="32"/>
        </w:rPr>
        <w:t>小虎沟泥石流</w:t>
      </w:r>
      <w:proofErr w:type="gramEnd"/>
      <w:r>
        <w:rPr>
          <w:rFonts w:ascii="Times New Roman" w:eastAsia="仿宋_GB2312" w:hAnsi="Times New Roman" w:cs="Times New Roman" w:hint="eastAsia"/>
          <w:sz w:val="32"/>
          <w:szCs w:val="32"/>
        </w:rPr>
        <w:t>、凤城市鸡冠山镇蔡家沟泥石流治理。加强农村建设中的地质灾害防治，在农村建设选址、旧村改造、移民迁建、乡村道路修建等项目中，开展地质灾害调查论证、农村宅基地地质灾害危险性评估、地质灾害治理等工作。</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中心城区应加强地质灾害隐患点的治理工作，对已查明的地质灾害隐患点进行综合治理。加强地质灾害隐患点排查，对新出现的地质灾害隐患点加强治理工作，对周边环境和房屋有严重影响的，应搬迁避让。</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）海洋灾害防治</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海洋观测网建设，推进智能网格化预报，健全海洋灾害防灾减灾体系，提高精细化预报和海洋防灾减灾能力。强化海洋灾害综合风险普查成果应用，在推进重大海洋工程建设和布局中充分考虑海洋灾害风险影响，提升抵御风暴潮、</w:t>
      </w:r>
      <w:r>
        <w:rPr>
          <w:rFonts w:ascii="Times New Roman" w:eastAsia="仿宋_GB2312" w:hAnsi="Times New Roman" w:cs="Times New Roman" w:hint="eastAsia"/>
          <w:sz w:val="32"/>
          <w:szCs w:val="32"/>
        </w:rPr>
        <w:lastRenderedPageBreak/>
        <w:t>海浪、海冰、海平面上升等海洋灾害的能力。</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68" w:name="_Toc8611"/>
      <w:bookmarkStart w:id="1769" w:name="_Toc18964"/>
      <w:bookmarkStart w:id="1770" w:name="_Toc18764"/>
      <w:bookmarkStart w:id="1771" w:name="_Toc28865"/>
      <w:bookmarkStart w:id="1772" w:name="_Toc16257"/>
      <w:bookmarkStart w:id="1773" w:name="_Toc20417"/>
      <w:bookmarkStart w:id="1774" w:name="_Toc24449"/>
      <w:bookmarkStart w:id="1775" w:name="_Toc13459"/>
      <w:r>
        <w:rPr>
          <w:rFonts w:ascii="Times New Roman" w:eastAsia="楷体_GB2312" w:hAnsi="Times New Roman" w:cs="Times New Roman" w:hint="eastAsia"/>
          <w:sz w:val="32"/>
          <w:szCs w:val="32"/>
        </w:rPr>
        <w:t>有效应对事故灾难</w:t>
      </w:r>
      <w:bookmarkEnd w:id="1768"/>
      <w:bookmarkEnd w:id="1769"/>
      <w:bookmarkEnd w:id="1770"/>
      <w:bookmarkEnd w:id="1771"/>
      <w:bookmarkEnd w:id="1772"/>
      <w:bookmarkEnd w:id="1773"/>
      <w:bookmarkEnd w:id="1774"/>
      <w:bookmarkEnd w:id="177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）危险化学品管控</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强化危险化学品建设项目源头管控。制定完善危险化学品“禁限控”目录并严格执行，严禁已淘汰的落后产能异地落户和进区入园，严格控制新建涉及光气、氯气、氨气等有毒气体，硝酸铵、硝基</w:t>
      </w:r>
      <w:proofErr w:type="gramStart"/>
      <w:r>
        <w:rPr>
          <w:rFonts w:ascii="Times New Roman" w:eastAsia="仿宋_GB2312" w:hAnsi="Times New Roman" w:cs="Times New Roman" w:hint="eastAsia"/>
          <w:sz w:val="32"/>
          <w:szCs w:val="32"/>
        </w:rPr>
        <w:t>胍</w:t>
      </w:r>
      <w:proofErr w:type="gramEnd"/>
      <w:r>
        <w:rPr>
          <w:rFonts w:ascii="Times New Roman" w:eastAsia="仿宋_GB2312" w:hAnsi="Times New Roman" w:cs="Times New Roman" w:hint="eastAsia"/>
          <w:sz w:val="32"/>
          <w:szCs w:val="32"/>
        </w:rPr>
        <w:t>、氯酸铵等爆炸性危险化学品以及涉及硝化工艺、剧毒化学品生产的建设项目。</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引导化工项目进区入园。不得在已认定的园区外新、改扩建化工项目（提升安全环保节能和智能化水平、油品质量升级、资源类、清洁能源类及为其它行业配套的项目除外），新建危险化学品生产项目必须进入一般或较低安全风险的化工园区，引导其他化工企业进入化工园区发展。</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严格化工园区安全风险管控。化工园区应</w:t>
      </w:r>
      <w:proofErr w:type="gramStart"/>
      <w:r>
        <w:rPr>
          <w:rFonts w:ascii="Times New Roman" w:eastAsia="仿宋_GB2312" w:hAnsi="Times New Roman" w:cs="Times New Roman" w:hint="eastAsia"/>
          <w:sz w:val="32"/>
          <w:szCs w:val="32"/>
        </w:rPr>
        <w:t>明确四</w:t>
      </w:r>
      <w:proofErr w:type="gramEnd"/>
      <w:r>
        <w:rPr>
          <w:rFonts w:ascii="Times New Roman" w:eastAsia="仿宋_GB2312" w:hAnsi="Times New Roman" w:cs="Times New Roman" w:hint="eastAsia"/>
          <w:sz w:val="32"/>
          <w:szCs w:val="32"/>
        </w:rPr>
        <w:t>至范围，依据化工园区整体性安全风险评估结果，划定周边土地规划安全控制线。化工园区应实施封闭化管理，建设满足实际需求的公用工程和配套功能设施。化工园区禁止有居民居住，劳动密集型企业不得与化工企业混建在同一园区内。研究推进丹东区域</w:t>
      </w:r>
      <w:proofErr w:type="gramStart"/>
      <w:r>
        <w:rPr>
          <w:rFonts w:ascii="Times New Roman" w:eastAsia="仿宋_GB2312" w:hAnsi="Times New Roman" w:cs="Times New Roman" w:hint="eastAsia"/>
          <w:sz w:val="32"/>
          <w:szCs w:val="32"/>
        </w:rPr>
        <w:t>内危险</w:t>
      </w:r>
      <w:proofErr w:type="gramEnd"/>
      <w:r>
        <w:rPr>
          <w:rFonts w:ascii="Times New Roman" w:eastAsia="仿宋_GB2312" w:hAnsi="Times New Roman" w:cs="Times New Roman" w:hint="eastAsia"/>
          <w:sz w:val="32"/>
          <w:szCs w:val="32"/>
        </w:rPr>
        <w:t>化学品应急救援基地布局建设。</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强化重大安全风险管控。加强危险化学品重大危险源安全风险监测预警系统建设应用，推进化工园区和企业智能化管控平台建设，推进特殊作业许可与作业过程管理、人员定</w:t>
      </w:r>
      <w:r>
        <w:rPr>
          <w:rFonts w:ascii="Times New Roman" w:eastAsia="仿宋_GB2312" w:hAnsi="Times New Roman" w:cs="Times New Roman" w:hint="eastAsia"/>
          <w:sz w:val="32"/>
          <w:szCs w:val="32"/>
        </w:rPr>
        <w:lastRenderedPageBreak/>
        <w:t>位、智能巡检、承包商管理等应用场景建设，提高信息化智能化管控水平。</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）非</w:t>
      </w:r>
      <w:proofErr w:type="gramStart"/>
      <w:r>
        <w:rPr>
          <w:rFonts w:ascii="Times New Roman" w:eastAsia="仿宋_GB2312" w:hAnsi="Times New Roman" w:cs="Times New Roman" w:hint="eastAsia"/>
          <w:sz w:val="32"/>
          <w:szCs w:val="32"/>
        </w:rPr>
        <w:t>煤矿山管控</w:t>
      </w:r>
      <w:proofErr w:type="gramEnd"/>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按照《辽宁省防范化解尾矿库安全风险工作方案》要求，严禁在距离重要河流岸线</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千米范围内和水源保护区内新（改、扩）建尾矿库，严禁新建</w:t>
      </w:r>
      <w:proofErr w:type="gramStart"/>
      <w:r>
        <w:rPr>
          <w:rFonts w:ascii="Times New Roman" w:eastAsia="仿宋_GB2312" w:hAnsi="Times New Roman" w:cs="Times New Roman" w:hint="eastAsia"/>
          <w:sz w:val="32"/>
          <w:szCs w:val="32"/>
        </w:rPr>
        <w:t>截河型</w:t>
      </w:r>
      <w:proofErr w:type="gramEnd"/>
      <w:r>
        <w:rPr>
          <w:rFonts w:ascii="Times New Roman" w:eastAsia="仿宋_GB2312" w:hAnsi="Times New Roman" w:cs="Times New Roman" w:hint="eastAsia"/>
          <w:sz w:val="32"/>
          <w:szCs w:val="32"/>
        </w:rPr>
        <w:t>和建在河滩上的尾矿库。尾矿库下游</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千米范围内不得新设置居民区、工矿企业、集贸市场、休闲健身娱乐广场等设施。露天矿山周边设施安全距离应满足《爆破安全规程》要求。加快推进废弃尾矿库</w:t>
      </w:r>
      <w:proofErr w:type="gramStart"/>
      <w:r>
        <w:rPr>
          <w:rFonts w:ascii="Times New Roman" w:eastAsia="仿宋_GB2312" w:hAnsi="Times New Roman" w:cs="Times New Roman" w:hint="eastAsia"/>
          <w:sz w:val="32"/>
          <w:szCs w:val="32"/>
        </w:rPr>
        <w:t>闭库治理</w:t>
      </w:r>
      <w:proofErr w:type="gramEnd"/>
      <w:r>
        <w:rPr>
          <w:rFonts w:ascii="Times New Roman" w:eastAsia="仿宋_GB2312" w:hAnsi="Times New Roman" w:cs="Times New Roman" w:hint="eastAsia"/>
          <w:sz w:val="32"/>
          <w:szCs w:val="32"/>
        </w:rPr>
        <w:t>工作。推进非煤地下矿山采空区排查治理，消除安全隐患。对于“有主”采空区，由非煤矿山企业负责排查治理，建立档案，落实安全防范措施。对于“无主”采空区，按照《辽宁省矿山综合治理条例》规定，由矿山所在地的市、县自然资源主管部门使用经市、县人民政府批准设立的政府专项资金进行治理恢复，消除隐患。</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落实矿山地质环境治理与生态修复责任制，</w:t>
      </w:r>
      <w:proofErr w:type="gramStart"/>
      <w:r>
        <w:rPr>
          <w:rFonts w:ascii="Times New Roman" w:eastAsia="仿宋_GB2312" w:hAnsi="Times New Roman" w:cs="Times New Roman" w:hint="eastAsia"/>
          <w:sz w:val="32"/>
          <w:szCs w:val="32"/>
        </w:rPr>
        <w:t>督促非</w:t>
      </w:r>
      <w:proofErr w:type="gramEnd"/>
      <w:r>
        <w:rPr>
          <w:rFonts w:ascii="Times New Roman" w:eastAsia="仿宋_GB2312" w:hAnsi="Times New Roman" w:cs="Times New Roman" w:hint="eastAsia"/>
          <w:sz w:val="32"/>
          <w:szCs w:val="32"/>
        </w:rPr>
        <w:t>煤矿山做到“边生产、边治理、应治尽治”。采取措施开展废弃矿井专项治理工作，对废弃矿井的井筒一律进行有效封堵或炸毁、填实，杜绝非法盗采者进入，避免发生人员伤亡事故。</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）油气长输管道风险管控</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加强油气输送管道安全隐患整治力度，防范各类重特大生产安全事故。依据相关法律法规、安全技术规范、强制性标准，严格落实油气输送管道周边规划用地控制，严禁规划</w:t>
      </w:r>
      <w:r>
        <w:rPr>
          <w:rFonts w:ascii="Times New Roman" w:eastAsia="仿宋_GB2312" w:hAnsi="Times New Roman" w:cs="Times New Roman" w:hint="eastAsia"/>
          <w:sz w:val="32"/>
          <w:szCs w:val="32"/>
        </w:rPr>
        <w:lastRenderedPageBreak/>
        <w:t>建设居民小区、学校、医院等人员密集场所；严格落实油气长输管道线路构筑物建设要求和管道法定检验制度。</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776" w:name="_Toc23382"/>
      <w:bookmarkStart w:id="1777" w:name="_Toc27421"/>
      <w:bookmarkStart w:id="1778" w:name="_Toc32633"/>
      <w:bookmarkStart w:id="1779" w:name="_Toc2514"/>
      <w:bookmarkStart w:id="1780" w:name="_Toc14861"/>
      <w:bookmarkStart w:id="1781" w:name="_Toc4851"/>
      <w:bookmarkStart w:id="1782" w:name="_Toc7607"/>
      <w:bookmarkStart w:id="1783" w:name="_Toc12517"/>
      <w:r>
        <w:rPr>
          <w:rFonts w:ascii="Times New Roman" w:eastAsia="楷体_GB2312" w:hAnsi="Times New Roman" w:cs="Times New Roman" w:hint="eastAsia"/>
          <w:sz w:val="32"/>
          <w:szCs w:val="32"/>
        </w:rPr>
        <w:t>科学防范公共卫生风险</w:t>
      </w:r>
      <w:bookmarkEnd w:id="1776"/>
      <w:bookmarkEnd w:id="1777"/>
      <w:bookmarkEnd w:id="1778"/>
      <w:bookmarkEnd w:id="1779"/>
      <w:bookmarkEnd w:id="1780"/>
      <w:bookmarkEnd w:id="1781"/>
      <w:bookmarkEnd w:id="1782"/>
      <w:bookmarkEnd w:id="178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高度重视突发公共卫生事件，通过降低城市密度，完善交通设施、医疗卫生等公共服务设施配套支撑，构建社区防控体系等，切实提高重大突发公共卫生风险防控效能，满足应对重大公共卫生风险防控服务设施建设的需求，打造服务本市、辐射周边的卫生服务体系。</w:t>
      </w:r>
    </w:p>
    <w:p w:rsidR="00A765C5" w:rsidRDefault="00A765C5"/>
    <w:p w:rsidR="00A765C5" w:rsidRDefault="00A765C5" w:rsidP="006B5E5D">
      <w:pPr>
        <w:pStyle w:val="1"/>
        <w:numPr>
          <w:ilvl w:val="255"/>
          <w:numId w:val="0"/>
        </w:numPr>
        <w:spacing w:afterLines="150" w:after="468" w:line="600" w:lineRule="exact"/>
        <w:jc w:val="both"/>
        <w:rPr>
          <w:rFonts w:ascii="Times New Roman" w:eastAsia="方正小标宋_GBK" w:hAnsi="Times New Roman" w:cs="Times New Roman"/>
          <w:b w:val="0"/>
          <w:sz w:val="36"/>
          <w:szCs w:val="36"/>
        </w:rPr>
        <w:sectPr w:rsidR="00A765C5">
          <w:pgSz w:w="11850" w:h="16783"/>
          <w:pgMar w:top="1440" w:right="1800" w:bottom="1440" w:left="1800" w:header="720" w:footer="720" w:gutter="0"/>
          <w:cols w:space="720"/>
          <w:docGrid w:type="lines" w:linePitch="312"/>
        </w:sectPr>
      </w:pPr>
      <w:bookmarkStart w:id="1784" w:name="_Toc9143"/>
      <w:bookmarkStart w:id="1785" w:name="_Toc8337"/>
      <w:bookmarkStart w:id="1786" w:name="_Toc10059"/>
      <w:bookmarkStart w:id="1787" w:name="_Toc3006"/>
      <w:bookmarkStart w:id="1788" w:name="_Toc16958"/>
      <w:bookmarkStart w:id="1789" w:name="_Toc1904"/>
      <w:bookmarkStart w:id="1790" w:name="_Toc14884"/>
      <w:bookmarkStart w:id="1791" w:name="_Toc29090"/>
      <w:bookmarkStart w:id="1792" w:name="_Toc30654"/>
      <w:bookmarkStart w:id="1793" w:name="_Toc10383"/>
      <w:bookmarkStart w:id="1794" w:name="_Toc31634"/>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r>
        <w:rPr>
          <w:rFonts w:ascii="Times New Roman" w:eastAsia="方正小标宋_GBK" w:hAnsi="Times New Roman" w:cs="Times New Roman" w:hint="eastAsia"/>
          <w:b w:val="0"/>
          <w:sz w:val="36"/>
          <w:szCs w:val="36"/>
        </w:rPr>
        <w:lastRenderedPageBreak/>
        <w:t>优化海洋</w:t>
      </w:r>
      <w:bookmarkEnd w:id="1784"/>
      <w:bookmarkEnd w:id="1785"/>
      <w:bookmarkEnd w:id="1786"/>
      <w:r>
        <w:rPr>
          <w:rFonts w:ascii="Times New Roman" w:eastAsia="方正小标宋_GBK" w:hAnsi="Times New Roman" w:cs="Times New Roman" w:hint="eastAsia"/>
          <w:b w:val="0"/>
          <w:sz w:val="36"/>
          <w:szCs w:val="36"/>
        </w:rPr>
        <w:t>开发保护格局，推进向海发展</w:t>
      </w:r>
      <w:bookmarkEnd w:id="1787"/>
      <w:bookmarkEnd w:id="1788"/>
      <w:bookmarkEnd w:id="1789"/>
      <w:bookmarkEnd w:id="1790"/>
      <w:bookmarkEnd w:id="1791"/>
      <w:bookmarkEnd w:id="1792"/>
      <w:bookmarkEnd w:id="1793"/>
      <w:bookmarkEnd w:id="1794"/>
    </w:p>
    <w:p w:rsidR="00A765C5" w:rsidRDefault="00702EF7" w:rsidP="006B5E5D">
      <w:pPr>
        <w:pStyle w:val="2"/>
        <w:numPr>
          <w:ilvl w:val="0"/>
          <w:numId w:val="14"/>
        </w:numPr>
        <w:snapToGrid w:val="0"/>
        <w:spacing w:beforeLines="50" w:before="156" w:afterLines="50" w:after="156" w:line="600" w:lineRule="exact"/>
        <w:jc w:val="center"/>
        <w:rPr>
          <w:rFonts w:ascii="Times New Roman" w:eastAsia="黑体" w:hAnsi="Times New Roman"/>
          <w:b w:val="0"/>
          <w:bCs w:val="0"/>
          <w:sz w:val="32"/>
        </w:rPr>
      </w:pPr>
      <w:bookmarkStart w:id="1795" w:name="_Toc6164"/>
      <w:bookmarkStart w:id="1796" w:name="_Toc27104"/>
      <w:bookmarkStart w:id="1797" w:name="_Toc25698"/>
      <w:bookmarkStart w:id="1798" w:name="_Toc31893"/>
      <w:bookmarkStart w:id="1799" w:name="_Toc23635"/>
      <w:bookmarkStart w:id="1800" w:name="_Toc10395"/>
      <w:bookmarkStart w:id="1801" w:name="_Toc22146"/>
      <w:bookmarkStart w:id="1802" w:name="_Toc4593"/>
      <w:bookmarkStart w:id="1803" w:name="_Toc28599"/>
      <w:bookmarkStart w:id="1804" w:name="_Toc7790"/>
      <w:r>
        <w:rPr>
          <w:rFonts w:ascii="Times New Roman" w:eastAsia="黑体" w:hAnsi="Times New Roman" w:hint="eastAsia"/>
          <w:b w:val="0"/>
          <w:bCs w:val="0"/>
          <w:sz w:val="32"/>
        </w:rPr>
        <w:t>优化海洋空间格局</w:t>
      </w:r>
      <w:bookmarkEnd w:id="1795"/>
      <w:bookmarkEnd w:id="1796"/>
      <w:bookmarkEnd w:id="1797"/>
      <w:bookmarkEnd w:id="1798"/>
      <w:bookmarkEnd w:id="1799"/>
      <w:bookmarkEnd w:id="1800"/>
      <w:bookmarkEnd w:id="1801"/>
      <w:bookmarkEnd w:id="1802"/>
      <w:bookmarkEnd w:id="1803"/>
      <w:bookmarkEnd w:id="1804"/>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05" w:name="_Toc25391"/>
      <w:bookmarkStart w:id="1806" w:name="_Toc24730"/>
      <w:bookmarkStart w:id="1807" w:name="_Toc15121"/>
      <w:bookmarkStart w:id="1808" w:name="_Toc30242"/>
      <w:bookmarkStart w:id="1809" w:name="_Toc30623"/>
      <w:bookmarkStart w:id="1810" w:name="_Toc7820"/>
      <w:bookmarkStart w:id="1811" w:name="_Toc3794"/>
      <w:bookmarkStart w:id="1812" w:name="_Toc8621"/>
      <w:bookmarkStart w:id="1813" w:name="_Toc19631"/>
      <w:r>
        <w:rPr>
          <w:rFonts w:ascii="Times New Roman" w:eastAsia="楷体_GB2312" w:hAnsi="Times New Roman" w:cs="Times New Roman" w:hint="eastAsia"/>
          <w:sz w:val="32"/>
          <w:szCs w:val="32"/>
        </w:rPr>
        <w:t>海洋开发保护战略定位</w:t>
      </w:r>
      <w:bookmarkEnd w:id="1805"/>
      <w:bookmarkEnd w:id="1806"/>
      <w:bookmarkEnd w:id="1807"/>
      <w:bookmarkEnd w:id="1808"/>
      <w:bookmarkEnd w:id="1809"/>
      <w:bookmarkEnd w:id="1810"/>
      <w:bookmarkEnd w:id="1811"/>
      <w:bookmarkEnd w:id="1812"/>
      <w:bookmarkEnd w:id="181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以海洋生态保护与高质量发展战略为指引，统筹陆海空间生态环境保护，依托鸭绿江口湿地国家级自然保护区，构筑国际级别的旅鸟迁徙驿站，切实加强具有重要生态价值的海洋生物、候鸟生存区域的保护，将丹东市打造为辽宁省乃至全国的海洋生态屏障。坚持集约高效，统筹陆海空</w:t>
      </w:r>
      <w:proofErr w:type="gramStart"/>
      <w:r>
        <w:rPr>
          <w:rFonts w:ascii="Times New Roman" w:eastAsia="仿宋_GB2312" w:hAnsi="Times New Roman" w:cs="Times New Roman" w:hint="eastAsia"/>
          <w:sz w:val="32"/>
          <w:szCs w:val="32"/>
        </w:rPr>
        <w:t>间资源</w:t>
      </w:r>
      <w:proofErr w:type="gramEnd"/>
      <w:r>
        <w:rPr>
          <w:rFonts w:ascii="Times New Roman" w:eastAsia="仿宋_GB2312" w:hAnsi="Times New Roman" w:cs="Times New Roman" w:hint="eastAsia"/>
          <w:sz w:val="32"/>
          <w:szCs w:val="32"/>
        </w:rPr>
        <w:t>开发和产业布局，发展以港口物流、渔港经济、海水健康养殖、滨海旅游等为主体的现代生态化经济体系，推动海岸海域科学、有序、系统开发。</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14" w:name="_Toc3422"/>
      <w:bookmarkStart w:id="1815" w:name="_Toc4478"/>
      <w:bookmarkStart w:id="1816" w:name="_Toc29549"/>
      <w:bookmarkStart w:id="1817" w:name="_Toc24033"/>
      <w:bookmarkStart w:id="1818" w:name="_Toc13263"/>
      <w:bookmarkStart w:id="1819" w:name="_Toc14830"/>
      <w:bookmarkStart w:id="1820" w:name="_Toc884"/>
      <w:bookmarkStart w:id="1821" w:name="_Toc572"/>
      <w:r>
        <w:rPr>
          <w:rFonts w:ascii="Times New Roman" w:eastAsia="楷体_GB2312" w:hAnsi="Times New Roman" w:cs="Times New Roman" w:hint="eastAsia"/>
          <w:sz w:val="32"/>
          <w:szCs w:val="32"/>
        </w:rPr>
        <w:t>优化海洋开发保护总体格局</w:t>
      </w:r>
      <w:bookmarkEnd w:id="1814"/>
      <w:bookmarkEnd w:id="1815"/>
      <w:bookmarkEnd w:id="1816"/>
      <w:bookmarkEnd w:id="1817"/>
      <w:bookmarkEnd w:id="1818"/>
      <w:bookmarkEnd w:id="1819"/>
      <w:bookmarkEnd w:id="1820"/>
      <w:bookmarkEnd w:id="182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构建“一个岛群、两个河口、四大海域”的海洋开发保护布局。“一个岛群”</w:t>
      </w:r>
      <w:bookmarkStart w:id="1822" w:name="OLE_LINK2"/>
      <w:r>
        <w:rPr>
          <w:rFonts w:ascii="Times New Roman" w:eastAsia="仿宋_GB2312" w:hAnsi="Times New Roman" w:cs="Times New Roman" w:hint="eastAsia"/>
          <w:sz w:val="32"/>
          <w:szCs w:val="32"/>
        </w:rPr>
        <w:t>指近岸海岛岛群</w:t>
      </w:r>
      <w:bookmarkEnd w:id="1822"/>
      <w:r>
        <w:rPr>
          <w:rFonts w:ascii="Times New Roman" w:eastAsia="仿宋_GB2312" w:hAnsi="Times New Roman" w:cs="Times New Roman" w:hint="eastAsia"/>
          <w:sz w:val="32"/>
          <w:szCs w:val="32"/>
        </w:rPr>
        <w:t>，“两个河口”指大洋河及鸭绿江河口区域，“四大海域”指丹东港、海洋</w:t>
      </w:r>
      <w:proofErr w:type="gramStart"/>
      <w:r>
        <w:rPr>
          <w:rFonts w:ascii="Times New Roman" w:eastAsia="仿宋_GB2312" w:hAnsi="Times New Roman" w:cs="Times New Roman" w:hint="eastAsia"/>
          <w:sz w:val="32"/>
          <w:szCs w:val="32"/>
        </w:rPr>
        <w:t>红港周边</w:t>
      </w:r>
      <w:proofErr w:type="gramEnd"/>
      <w:r>
        <w:rPr>
          <w:rFonts w:ascii="Times New Roman" w:eastAsia="仿宋_GB2312" w:hAnsi="Times New Roman" w:cs="Times New Roman" w:hint="eastAsia"/>
          <w:sz w:val="32"/>
          <w:szCs w:val="32"/>
        </w:rPr>
        <w:t>海域、东港市近岸海域及离岸海域。</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仿宋_GB2312" w:hAnsi="Times New Roman" w:cs="Times New Roman"/>
          <w:sz w:val="32"/>
          <w:szCs w:val="32"/>
        </w:rPr>
      </w:pPr>
      <w:bookmarkStart w:id="1823" w:name="_Toc27545"/>
      <w:bookmarkStart w:id="1824" w:name="_Toc5886"/>
      <w:bookmarkStart w:id="1825" w:name="_Toc20307"/>
      <w:bookmarkStart w:id="1826" w:name="_Toc18263"/>
      <w:bookmarkStart w:id="1827" w:name="_Toc27270"/>
      <w:bookmarkStart w:id="1828" w:name="_Toc25532"/>
      <w:bookmarkStart w:id="1829" w:name="_Toc24912"/>
      <w:bookmarkStart w:id="1830" w:name="_Toc10897"/>
      <w:bookmarkStart w:id="1831" w:name="_Toc10759"/>
      <w:r>
        <w:rPr>
          <w:rFonts w:ascii="Times New Roman" w:eastAsia="楷体_GB2312" w:hAnsi="Times New Roman" w:cs="Times New Roman" w:hint="eastAsia"/>
          <w:sz w:val="32"/>
          <w:szCs w:val="32"/>
        </w:rPr>
        <w:t>优化海洋分区管控</w:t>
      </w:r>
      <w:bookmarkEnd w:id="1823"/>
      <w:bookmarkEnd w:id="1824"/>
      <w:bookmarkEnd w:id="1825"/>
      <w:bookmarkEnd w:id="1826"/>
      <w:bookmarkEnd w:id="1827"/>
      <w:bookmarkEnd w:id="1828"/>
      <w:bookmarkEnd w:id="1829"/>
      <w:bookmarkEnd w:id="1830"/>
    </w:p>
    <w:bookmarkEnd w:id="1831"/>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渔业用海区。主要位于东港市东部近岸、大鹿岛新港码头周边、小岛周边及东港市南部离岸海域。东部近岸海域保障中心渔港和远洋渔业基地等渔业设施建设用海，大鹿岛新</w:t>
      </w:r>
      <w:r>
        <w:rPr>
          <w:rFonts w:ascii="Times New Roman" w:eastAsia="仿宋_GB2312" w:hAnsi="Times New Roman" w:cs="Times New Roman" w:hint="eastAsia"/>
          <w:sz w:val="32"/>
          <w:szCs w:val="32"/>
        </w:rPr>
        <w:lastRenderedPageBreak/>
        <w:t>港周边海域允许陆岛交通码头建设。近海海域大力发展现代化海洋牧场，开展绿色养殖。渔业养殖确权应不妨碍海事部门发布的船舶航路，以保证通航安全。远海海域保障捕捞用海需求，严格控制渔船数量增长。本功能区需切实保障国防安全、通航安全，在互不干扰前提下，可兼容游憩、科研教学、海底管线等用海功能，严格控制排污倾倒用海、船舶工业用海等功能。</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交通运输用海区。主要位于海洋红港、大东港、獐岛客运站大陆侧周边。本功能区重点保障港口建设用海需求。禁止在港区内进行与航运无关、有碍航行安全的活动。功能区可兼容不对主导功能造成影响的工矿通信用海、排污倾倒用海。</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1832" w:name="_Toc18325"/>
      <w:r>
        <w:rPr>
          <w:rFonts w:ascii="Times New Roman" w:eastAsia="仿宋_GB2312" w:hAnsi="Times New Roman" w:cs="Times New Roman" w:hint="eastAsia"/>
          <w:sz w:val="32"/>
          <w:szCs w:val="32"/>
        </w:rPr>
        <w:t>工矿通信用海区</w:t>
      </w:r>
      <w:bookmarkEnd w:id="1832"/>
      <w:r>
        <w:rPr>
          <w:rFonts w:ascii="Times New Roman" w:eastAsia="仿宋_GB2312" w:hAnsi="Times New Roman" w:cs="Times New Roman" w:hint="eastAsia"/>
          <w:sz w:val="32"/>
          <w:szCs w:val="32"/>
        </w:rPr>
        <w:t>。位于东港市西南侧海域。本功能区主要保障海上风电、海底电缆管道建设用海需求，加强对海底电缆管线的保护，在不影响主导功能和保证航运安全前提下，可兼容渔业养殖及捕捞用海。</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游憩用海区。位于菩萨庙、大鹿岛、獐岛周边近岸海域。本功能区主要保障游乐场、浴场及其他海上文体娱乐活动用海需求，海岛周边允许陆岛交通码头建设，可兼容科研教学用海。在不影响主导功能前提下可适当兼容</w:t>
      </w:r>
      <w:proofErr w:type="gramStart"/>
      <w:r>
        <w:rPr>
          <w:rFonts w:ascii="Times New Roman" w:eastAsia="仿宋_GB2312" w:hAnsi="Times New Roman" w:cs="Times New Roman" w:hint="eastAsia"/>
          <w:sz w:val="32"/>
          <w:szCs w:val="32"/>
        </w:rPr>
        <w:t>底播增养殖</w:t>
      </w:r>
      <w:proofErr w:type="gramEnd"/>
      <w:r>
        <w:rPr>
          <w:rFonts w:ascii="Times New Roman" w:eastAsia="仿宋_GB2312" w:hAnsi="Times New Roman" w:cs="Times New Roman" w:hint="eastAsia"/>
          <w:sz w:val="32"/>
          <w:szCs w:val="32"/>
        </w:rPr>
        <w:t>、部分高端“渔游互补”</w:t>
      </w:r>
      <w:proofErr w:type="gramStart"/>
      <w:r>
        <w:rPr>
          <w:rFonts w:ascii="Times New Roman" w:eastAsia="仿宋_GB2312" w:hAnsi="Times New Roman" w:cs="Times New Roman" w:hint="eastAsia"/>
          <w:sz w:val="32"/>
          <w:szCs w:val="32"/>
        </w:rPr>
        <w:t>混合业态用</w:t>
      </w:r>
      <w:proofErr w:type="gramEnd"/>
      <w:r>
        <w:rPr>
          <w:rFonts w:ascii="Times New Roman" w:eastAsia="仿宋_GB2312" w:hAnsi="Times New Roman" w:cs="Times New Roman" w:hint="eastAsia"/>
          <w:sz w:val="32"/>
          <w:szCs w:val="32"/>
        </w:rPr>
        <w:t>海。控制排污倾倒用海、工业用海和新建港口。应尽量保持自然景观和人文景观的完整性和原生性，功能区内岸线的保护利用遵照其海岸线分类管</w:t>
      </w:r>
      <w:r>
        <w:rPr>
          <w:rFonts w:ascii="Times New Roman" w:eastAsia="仿宋_GB2312" w:hAnsi="Times New Roman" w:cs="Times New Roman" w:hint="eastAsia"/>
          <w:sz w:val="32"/>
          <w:szCs w:val="32"/>
        </w:rPr>
        <w:lastRenderedPageBreak/>
        <w:t>控要求，禁止建设与旅游无关的构筑物。</w:t>
      </w:r>
    </w:p>
    <w:p w:rsidR="00A765C5" w:rsidRDefault="00702EF7">
      <w:pPr>
        <w:snapToGrid w:val="0"/>
        <w:spacing w:line="600" w:lineRule="exact"/>
        <w:ind w:firstLineChars="200" w:firstLine="640"/>
        <w:rPr>
          <w:rFonts w:ascii="Times New Roman" w:eastAsia="仿宋_GB2312" w:hAnsi="Times New Roman" w:cs="Times New Roman"/>
          <w:sz w:val="32"/>
          <w:szCs w:val="32"/>
        </w:rPr>
      </w:pPr>
      <w:bookmarkStart w:id="1833" w:name="_Toc31735"/>
      <w:proofErr w:type="gramStart"/>
      <w:r>
        <w:rPr>
          <w:rFonts w:ascii="Times New Roman" w:eastAsia="仿宋_GB2312" w:hAnsi="Times New Roman" w:cs="Times New Roman" w:hint="eastAsia"/>
          <w:sz w:val="32"/>
          <w:szCs w:val="32"/>
        </w:rPr>
        <w:t>特殊用</w:t>
      </w:r>
      <w:proofErr w:type="gramEnd"/>
      <w:r>
        <w:rPr>
          <w:rFonts w:ascii="Times New Roman" w:eastAsia="仿宋_GB2312" w:hAnsi="Times New Roman" w:cs="Times New Roman" w:hint="eastAsia"/>
          <w:sz w:val="32"/>
          <w:szCs w:val="32"/>
        </w:rPr>
        <w:t>海区</w:t>
      </w:r>
      <w:bookmarkEnd w:id="1833"/>
      <w:r>
        <w:rPr>
          <w:rFonts w:ascii="Times New Roman" w:eastAsia="仿宋_GB2312" w:hAnsi="Times New Roman" w:cs="Times New Roman" w:hint="eastAsia"/>
          <w:sz w:val="32"/>
          <w:szCs w:val="32"/>
        </w:rPr>
        <w:t>。位于大东港西南近海海域。主导功能为倾倒用海，不得转为其他用途；严格审查、监管疏浚物等废弃物倾倒。严格查处违法违规排污、倾倒废弃物等不利于环境保护与资源恢复行为。</w:t>
      </w:r>
    </w:p>
    <w:p w:rsidR="00A765C5" w:rsidRDefault="00702EF7" w:rsidP="006B5E5D">
      <w:pPr>
        <w:pStyle w:val="2"/>
        <w:numPr>
          <w:ilvl w:val="0"/>
          <w:numId w:val="14"/>
        </w:numPr>
        <w:snapToGrid w:val="0"/>
        <w:spacing w:beforeLines="50" w:before="156" w:afterLines="50" w:after="156" w:line="600" w:lineRule="exact"/>
        <w:jc w:val="center"/>
        <w:rPr>
          <w:rFonts w:ascii="Times New Roman" w:eastAsia="黑体" w:hAnsi="Times New Roman"/>
          <w:b w:val="0"/>
          <w:bCs w:val="0"/>
          <w:sz w:val="32"/>
        </w:rPr>
      </w:pPr>
      <w:bookmarkStart w:id="1834" w:name="_Toc10908"/>
      <w:bookmarkStart w:id="1835" w:name="_Toc20639"/>
      <w:bookmarkStart w:id="1836" w:name="_Toc14210"/>
      <w:bookmarkStart w:id="1837" w:name="_Toc10983"/>
      <w:bookmarkStart w:id="1838" w:name="_Toc6925"/>
      <w:bookmarkStart w:id="1839" w:name="_Toc28189"/>
      <w:bookmarkStart w:id="1840" w:name="_Toc5505"/>
      <w:bookmarkStart w:id="1841" w:name="_Toc18047"/>
      <w:bookmarkStart w:id="1842" w:name="_Toc12673"/>
      <w:bookmarkStart w:id="1843" w:name="_Toc10223"/>
      <w:r>
        <w:rPr>
          <w:rFonts w:ascii="Times New Roman" w:eastAsia="黑体" w:hAnsi="Times New Roman" w:hint="eastAsia"/>
          <w:b w:val="0"/>
          <w:bCs w:val="0"/>
          <w:sz w:val="32"/>
        </w:rPr>
        <w:t>协调发展海洋经济与产业</w:t>
      </w:r>
      <w:bookmarkEnd w:id="1834"/>
      <w:bookmarkEnd w:id="1835"/>
      <w:bookmarkEnd w:id="1836"/>
      <w:bookmarkEnd w:id="1837"/>
      <w:bookmarkEnd w:id="1838"/>
      <w:bookmarkEnd w:id="1839"/>
      <w:bookmarkEnd w:id="1840"/>
      <w:bookmarkEnd w:id="1841"/>
      <w:bookmarkEnd w:id="1842"/>
      <w:bookmarkEnd w:id="1843"/>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44" w:name="_Toc17096"/>
      <w:bookmarkStart w:id="1845" w:name="_Toc25649"/>
      <w:bookmarkStart w:id="1846" w:name="_Toc28135"/>
      <w:bookmarkStart w:id="1847" w:name="_Toc26823"/>
      <w:bookmarkStart w:id="1848" w:name="_Toc12005"/>
      <w:bookmarkStart w:id="1849" w:name="_Toc2902"/>
      <w:bookmarkStart w:id="1850" w:name="_Toc28289"/>
      <w:bookmarkStart w:id="1851" w:name="_Toc31864"/>
      <w:r>
        <w:rPr>
          <w:rFonts w:ascii="Times New Roman" w:eastAsia="楷体_GB2312" w:hAnsi="Times New Roman" w:cs="Times New Roman" w:hint="eastAsia"/>
          <w:sz w:val="32"/>
          <w:szCs w:val="32"/>
        </w:rPr>
        <w:t>高效利用海洋开发空间</w:t>
      </w:r>
      <w:bookmarkEnd w:id="1844"/>
      <w:bookmarkEnd w:id="1845"/>
      <w:bookmarkEnd w:id="1846"/>
      <w:bookmarkEnd w:id="1847"/>
      <w:bookmarkEnd w:id="1848"/>
      <w:bookmarkEnd w:id="1849"/>
      <w:bookmarkEnd w:id="1850"/>
      <w:bookmarkEnd w:id="185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积极推动现代化海洋牧场建设，构建陆海联动发展的蓝色产业链。引导近岸养殖向深远海渔业功能区集聚，鼓励在深远海区域探索开展“渔光互补”“渔游互补”“渔风互补”等新兴产业业态，促进海洋空间资源集约高效利用，缓解近岸海洋资源压力。</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推进</w:t>
      </w:r>
      <w:proofErr w:type="gramStart"/>
      <w:r>
        <w:rPr>
          <w:rFonts w:ascii="Times New Roman" w:eastAsia="仿宋_GB2312" w:hAnsi="Times New Roman" w:cs="Times New Roman" w:hint="eastAsia"/>
          <w:sz w:val="32"/>
          <w:szCs w:val="32"/>
        </w:rPr>
        <w:t>港产城一体化</w:t>
      </w:r>
      <w:proofErr w:type="gramEnd"/>
      <w:r>
        <w:rPr>
          <w:rFonts w:ascii="Times New Roman" w:eastAsia="仿宋_GB2312" w:hAnsi="Times New Roman" w:cs="Times New Roman" w:hint="eastAsia"/>
          <w:sz w:val="32"/>
          <w:szCs w:val="32"/>
        </w:rPr>
        <w:t>发展，构建形成“前港、中区、后城”的空间布局，形成港口带动、区域支撑、一链贯通的发展模式。依托丹东港大东港区发展综合保税区，依托大东沟中心渔港发展海洋生物加工区、依托丹东港海洋红港区发展海洋装备制造产业区，围绕三区，加快城市配套建设，逐步形成水产捕捞、养殖、加工、贸易、冷链、物流、精深加工、海洋药物、休闲观光为一体，区域产业结构平衡、产业层次较高、辐射效应明显的海洋经济区。</w:t>
      </w:r>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稳妥推进海上风电场和海岛陆上风</w:t>
      </w:r>
      <w:proofErr w:type="gramStart"/>
      <w:r>
        <w:rPr>
          <w:rFonts w:ascii="Times New Roman" w:eastAsia="仿宋_GB2312" w:hAnsi="Times New Roman" w:cs="Times New Roman" w:hint="eastAsia"/>
          <w:sz w:val="32"/>
          <w:szCs w:val="32"/>
        </w:rPr>
        <w:t>电建设</w:t>
      </w:r>
      <w:proofErr w:type="gramEnd"/>
      <w:r>
        <w:rPr>
          <w:rFonts w:ascii="Times New Roman" w:eastAsia="仿宋_GB2312" w:hAnsi="Times New Roman" w:cs="Times New Roman" w:hint="eastAsia"/>
          <w:sz w:val="32"/>
          <w:szCs w:val="32"/>
        </w:rPr>
        <w:t>发展，加强新能源产业陆海统筹布局，系统规划海上风电场用海与陆地升</w:t>
      </w:r>
      <w:r>
        <w:rPr>
          <w:rFonts w:ascii="Times New Roman" w:eastAsia="仿宋_GB2312" w:hAnsi="Times New Roman" w:cs="Times New Roman" w:hint="eastAsia"/>
          <w:sz w:val="32"/>
          <w:szCs w:val="32"/>
        </w:rPr>
        <w:lastRenderedPageBreak/>
        <w:t>压站、集控中心用地保障。</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52" w:name="_Toc32347"/>
      <w:bookmarkStart w:id="1853" w:name="_Toc3138"/>
      <w:bookmarkStart w:id="1854" w:name="_Toc32068"/>
      <w:bookmarkStart w:id="1855" w:name="_Toc21140"/>
      <w:bookmarkStart w:id="1856" w:name="_Toc28440"/>
      <w:bookmarkStart w:id="1857" w:name="_Toc5124"/>
      <w:bookmarkStart w:id="1858" w:name="_Toc22023"/>
      <w:bookmarkStart w:id="1859" w:name="_Toc6173"/>
      <w:r>
        <w:rPr>
          <w:rFonts w:ascii="Times New Roman" w:eastAsia="楷体_GB2312" w:hAnsi="Times New Roman" w:cs="Times New Roman" w:hint="eastAsia"/>
          <w:sz w:val="32"/>
          <w:szCs w:val="32"/>
        </w:rPr>
        <w:t>探索海域立体分层利用</w:t>
      </w:r>
      <w:bookmarkEnd w:id="1852"/>
      <w:bookmarkEnd w:id="1853"/>
      <w:bookmarkEnd w:id="1854"/>
      <w:bookmarkEnd w:id="1855"/>
      <w:bookmarkEnd w:id="1856"/>
      <w:bookmarkEnd w:id="1857"/>
      <w:bookmarkEnd w:id="1858"/>
      <w:bookmarkEnd w:id="185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因地制宜推进海域立体分层设权，重点鼓励海洋牧场与其</w:t>
      </w:r>
      <w:proofErr w:type="gramStart"/>
      <w:r>
        <w:rPr>
          <w:rFonts w:ascii="Times New Roman" w:eastAsia="仿宋_GB2312" w:hAnsi="Times New Roman" w:cs="Times New Roman" w:hint="eastAsia"/>
          <w:sz w:val="32"/>
          <w:szCs w:val="32"/>
        </w:rPr>
        <w:t>他用海活动</w:t>
      </w:r>
      <w:proofErr w:type="gramEnd"/>
      <w:r>
        <w:rPr>
          <w:rFonts w:ascii="Times New Roman" w:eastAsia="仿宋_GB2312" w:hAnsi="Times New Roman" w:cs="Times New Roman" w:hint="eastAsia"/>
          <w:sz w:val="32"/>
          <w:szCs w:val="32"/>
        </w:rPr>
        <w:t>立体分层设权。申请使用分层海域的，其开发利用活动应符合国土空间规划，兼容功能不得对主导功能用</w:t>
      </w:r>
      <w:proofErr w:type="gramStart"/>
      <w:r>
        <w:rPr>
          <w:rFonts w:ascii="Times New Roman" w:eastAsia="仿宋_GB2312" w:hAnsi="Times New Roman" w:cs="Times New Roman" w:hint="eastAsia"/>
          <w:sz w:val="32"/>
          <w:szCs w:val="32"/>
        </w:rPr>
        <w:t>海造成</w:t>
      </w:r>
      <w:proofErr w:type="gramEnd"/>
      <w:r>
        <w:rPr>
          <w:rFonts w:ascii="Times New Roman" w:eastAsia="仿宋_GB2312" w:hAnsi="Times New Roman" w:cs="Times New Roman" w:hint="eastAsia"/>
          <w:sz w:val="32"/>
          <w:szCs w:val="32"/>
        </w:rPr>
        <w:t>影响。</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60" w:name="_Toc32363"/>
      <w:bookmarkStart w:id="1861" w:name="_Toc17435"/>
      <w:bookmarkStart w:id="1862" w:name="_Toc22707"/>
      <w:bookmarkStart w:id="1863" w:name="_Toc13216"/>
      <w:bookmarkStart w:id="1864" w:name="_Toc8125"/>
      <w:bookmarkStart w:id="1865" w:name="_Toc28480"/>
      <w:bookmarkStart w:id="1866" w:name="_Toc24522"/>
      <w:bookmarkStart w:id="1867" w:name="_Toc18444"/>
      <w:r>
        <w:rPr>
          <w:rFonts w:ascii="Times New Roman" w:eastAsia="楷体_GB2312" w:hAnsi="Times New Roman" w:cs="Times New Roman" w:hint="eastAsia"/>
          <w:sz w:val="32"/>
          <w:szCs w:val="32"/>
        </w:rPr>
        <w:t>加强围填海管控与存量利用</w:t>
      </w:r>
      <w:bookmarkEnd w:id="1860"/>
      <w:bookmarkEnd w:id="1861"/>
      <w:bookmarkEnd w:id="1862"/>
      <w:bookmarkEnd w:id="1863"/>
      <w:bookmarkEnd w:id="1864"/>
      <w:bookmarkEnd w:id="1865"/>
      <w:bookmarkEnd w:id="1866"/>
      <w:bookmarkEnd w:id="1867"/>
    </w:p>
    <w:p w:rsidR="00A765C5" w:rsidRDefault="00702EF7">
      <w:pPr>
        <w:pStyle w:val="0"/>
        <w:ind w:firstLine="640"/>
        <w:jc w:val="both"/>
      </w:pPr>
      <w:r>
        <w:rPr>
          <w:rFonts w:eastAsia="仿宋_GB2312" w:hint="eastAsia"/>
          <w:sz w:val="32"/>
          <w:szCs w:val="32"/>
        </w:rPr>
        <w:t>除国家重大战略项目外，全面停止新增围填海项目审批。实施已批围填海项目须同步开展生态保护修复，最大程度减少对生态系统的不利影响，并保障海上交通和河口行洪安全。加快推动围填海存量资源利用，严格限制存量围填海资源用于房地产开发、低水平重复建设旅游休闲娱乐项目及污染海洋生态环境的项目。引导符合国家产业政策的项目消化存量围填海资源，优先用于新兴海洋产业项目。</w:t>
      </w:r>
    </w:p>
    <w:p w:rsidR="00A765C5" w:rsidRDefault="00702EF7" w:rsidP="006B5E5D">
      <w:pPr>
        <w:pStyle w:val="2"/>
        <w:numPr>
          <w:ilvl w:val="0"/>
          <w:numId w:val="14"/>
        </w:numPr>
        <w:snapToGrid w:val="0"/>
        <w:spacing w:beforeLines="50" w:before="156" w:afterLines="50" w:after="156" w:line="600" w:lineRule="exact"/>
        <w:jc w:val="center"/>
        <w:rPr>
          <w:rFonts w:ascii="Times New Roman" w:eastAsia="黑体" w:hAnsi="Times New Roman"/>
          <w:b w:val="0"/>
          <w:bCs w:val="0"/>
          <w:sz w:val="32"/>
        </w:rPr>
      </w:pPr>
      <w:bookmarkStart w:id="1868" w:name="_Toc30113"/>
      <w:bookmarkStart w:id="1869" w:name="_Toc1391"/>
      <w:bookmarkStart w:id="1870" w:name="_Toc1852"/>
      <w:bookmarkStart w:id="1871" w:name="_Toc17978"/>
      <w:bookmarkStart w:id="1872" w:name="_Toc13418"/>
      <w:bookmarkStart w:id="1873" w:name="_Toc12476"/>
      <w:bookmarkStart w:id="1874" w:name="_Toc11985"/>
      <w:bookmarkStart w:id="1875" w:name="_Toc11042"/>
      <w:bookmarkStart w:id="1876" w:name="_Toc26072"/>
      <w:bookmarkStart w:id="1877" w:name="_Toc18860"/>
      <w:r>
        <w:rPr>
          <w:rFonts w:ascii="Times New Roman" w:eastAsia="黑体" w:hAnsi="Times New Roman" w:hint="eastAsia"/>
          <w:b w:val="0"/>
          <w:bCs w:val="0"/>
          <w:sz w:val="32"/>
        </w:rPr>
        <w:t>推进陆海统筹</w:t>
      </w:r>
      <w:bookmarkEnd w:id="1868"/>
      <w:bookmarkEnd w:id="1869"/>
      <w:bookmarkEnd w:id="1870"/>
      <w:bookmarkEnd w:id="1871"/>
      <w:bookmarkEnd w:id="1872"/>
      <w:bookmarkEnd w:id="1873"/>
      <w:bookmarkEnd w:id="1874"/>
      <w:bookmarkEnd w:id="1875"/>
      <w:bookmarkEnd w:id="1876"/>
      <w:bookmarkEnd w:id="1877"/>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78" w:name="_Toc6371"/>
      <w:bookmarkStart w:id="1879" w:name="_Toc6981"/>
      <w:bookmarkStart w:id="1880" w:name="_Toc6970"/>
      <w:bookmarkStart w:id="1881" w:name="_Toc20917"/>
      <w:bookmarkStart w:id="1882" w:name="_Toc6158"/>
      <w:bookmarkStart w:id="1883" w:name="_Toc25346"/>
      <w:bookmarkStart w:id="1884" w:name="_Toc15786"/>
      <w:bookmarkStart w:id="1885" w:name="_Toc27753"/>
      <w:r>
        <w:rPr>
          <w:rFonts w:ascii="Times New Roman" w:eastAsia="楷体_GB2312" w:hAnsi="Times New Roman" w:cs="Times New Roman" w:hint="eastAsia"/>
          <w:sz w:val="32"/>
          <w:szCs w:val="32"/>
        </w:rPr>
        <w:t>统筹生态保护</w:t>
      </w:r>
      <w:bookmarkEnd w:id="1878"/>
      <w:bookmarkEnd w:id="1879"/>
      <w:bookmarkEnd w:id="1880"/>
      <w:bookmarkEnd w:id="1881"/>
      <w:bookmarkEnd w:id="1882"/>
      <w:bookmarkEnd w:id="1883"/>
      <w:bookmarkEnd w:id="1884"/>
      <w:bookmarkEnd w:id="188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以</w:t>
      </w:r>
      <w:bookmarkStart w:id="1886" w:name="OLE_LINK58"/>
      <w:bookmarkStart w:id="1887" w:name="OLE_LINK59"/>
      <w:r>
        <w:rPr>
          <w:rFonts w:ascii="Times New Roman" w:eastAsia="仿宋_GB2312" w:hAnsi="Times New Roman" w:cs="Times New Roman" w:hint="eastAsia"/>
          <w:sz w:val="32"/>
          <w:szCs w:val="32"/>
        </w:rPr>
        <w:t>丹东鸭绿江口湿地国家级自然保护区</w:t>
      </w:r>
      <w:bookmarkEnd w:id="1886"/>
      <w:bookmarkEnd w:id="1887"/>
      <w:r>
        <w:rPr>
          <w:rFonts w:ascii="Times New Roman" w:eastAsia="仿宋_GB2312" w:hAnsi="Times New Roman" w:cs="Times New Roman" w:hint="eastAsia"/>
          <w:sz w:val="32"/>
          <w:szCs w:val="32"/>
        </w:rPr>
        <w:t>为纽带，优化调整海岸生态保护空间，以河口湿地、海滨地貌、沿海滩涂、近岸水域、无居民海岛为节点，构建海岸生态带。依据近海海域和沿岸陆域生态系统的整体性和系统性，统筹划定陆海生态红线区，建立重要生态空间的陆海统筹保护。推进海岸</w:t>
      </w:r>
      <w:r>
        <w:rPr>
          <w:rFonts w:ascii="Times New Roman" w:eastAsia="仿宋_GB2312" w:hAnsi="Times New Roman" w:cs="Times New Roman" w:hint="eastAsia"/>
          <w:sz w:val="32"/>
          <w:szCs w:val="32"/>
        </w:rPr>
        <w:lastRenderedPageBreak/>
        <w:t>整治修复，恢复自然岸线和重要湿地生境。加强入海河流水资源统筹调配，增加入海生态水量，保证滨海湿地的生态用水需求。</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888" w:name="_Toc8981"/>
      <w:bookmarkStart w:id="1889" w:name="_Toc27702"/>
      <w:bookmarkStart w:id="1890" w:name="_Toc2166"/>
      <w:bookmarkStart w:id="1891" w:name="_Toc26092"/>
      <w:bookmarkStart w:id="1892" w:name="_Toc32747"/>
      <w:bookmarkStart w:id="1893" w:name="_Toc32373"/>
      <w:bookmarkStart w:id="1894" w:name="_Toc32163"/>
      <w:bookmarkStart w:id="1895" w:name="_Toc9031"/>
      <w:r>
        <w:rPr>
          <w:rFonts w:ascii="Times New Roman" w:eastAsia="楷体_GB2312" w:hAnsi="Times New Roman" w:cs="Times New Roman" w:hint="eastAsia"/>
          <w:sz w:val="32"/>
          <w:szCs w:val="32"/>
        </w:rPr>
        <w:t>统筹空间布局</w:t>
      </w:r>
      <w:bookmarkEnd w:id="1888"/>
      <w:bookmarkEnd w:id="1889"/>
      <w:bookmarkEnd w:id="1890"/>
      <w:bookmarkEnd w:id="1891"/>
      <w:bookmarkEnd w:id="1892"/>
      <w:bookmarkEnd w:id="1893"/>
      <w:bookmarkEnd w:id="1894"/>
      <w:bookmarkEnd w:id="1895"/>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统筹协调港口周边区域的资源开发和鸭绿江口湿地保护区的资源保护。以丹东港大东港区和</w:t>
      </w:r>
      <w:proofErr w:type="gramStart"/>
      <w:r>
        <w:rPr>
          <w:rFonts w:ascii="Times New Roman" w:eastAsia="仿宋_GB2312" w:hAnsi="Times New Roman" w:cs="Times New Roman" w:hint="eastAsia"/>
          <w:sz w:val="32"/>
          <w:szCs w:val="32"/>
        </w:rPr>
        <w:t>海洋红港为</w:t>
      </w:r>
      <w:proofErr w:type="gramEnd"/>
      <w:r>
        <w:rPr>
          <w:rFonts w:ascii="Times New Roman" w:eastAsia="仿宋_GB2312" w:hAnsi="Times New Roman" w:cs="Times New Roman" w:hint="eastAsia"/>
          <w:sz w:val="32"/>
          <w:szCs w:val="32"/>
        </w:rPr>
        <w:t>重点，协调陆海交通运输和临港产业功能，形成陆海产业互相支撑、良性互动的空间格局。鸭绿江口湿地保护区周边应遵循生态保护优先的原则，海域功能以生态保护为主，陆域禁止布局工矿、物流仓储及交通枢纽等功能，可结合不同海岸段的自然属性和经济特征，适当布局各具特色、功能互补、优势集聚的滨海旅游空间，使滨海成为丹东市最有活力和最亮丽的风景线。</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仿宋_GB2312" w:hAnsi="Times New Roman" w:cs="Times New Roman"/>
          <w:sz w:val="32"/>
          <w:szCs w:val="32"/>
        </w:rPr>
      </w:pPr>
      <w:bookmarkStart w:id="1896" w:name="_Toc5674"/>
      <w:bookmarkStart w:id="1897" w:name="_Toc8919"/>
      <w:bookmarkStart w:id="1898" w:name="_Toc18247"/>
      <w:bookmarkStart w:id="1899" w:name="_Toc8336"/>
      <w:bookmarkStart w:id="1900" w:name="_Toc6538"/>
      <w:bookmarkStart w:id="1901" w:name="_Toc1591"/>
      <w:bookmarkStart w:id="1902" w:name="_Toc14245"/>
      <w:bookmarkStart w:id="1903" w:name="_Toc27109"/>
      <w:r>
        <w:rPr>
          <w:rFonts w:ascii="Times New Roman" w:eastAsia="楷体_GB2312" w:hAnsi="Times New Roman" w:cs="Times New Roman" w:hint="eastAsia"/>
          <w:sz w:val="32"/>
          <w:szCs w:val="32"/>
        </w:rPr>
        <w:t>统筹环境治理</w:t>
      </w:r>
      <w:bookmarkEnd w:id="1896"/>
      <w:bookmarkEnd w:id="1897"/>
      <w:bookmarkEnd w:id="1898"/>
      <w:bookmarkEnd w:id="1899"/>
      <w:bookmarkEnd w:id="1900"/>
      <w:bookmarkEnd w:id="1901"/>
      <w:bookmarkEnd w:id="1902"/>
      <w:bookmarkEnd w:id="1903"/>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建立陆海统筹的污染防治机制，强化源头管控，推行“陆源</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流域</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海洋”污染联动防治。规范陆源入海排污口管控，建立“一口一策”管理档案。加强鸭绿江、大洋河等入海河流污染治理，推动入海河流水质持续改善，确保稳定达标。开展鸭绿江口水域环境质量及核污染监测，全面掌握跨国界水域的生态环境状况及变化趋势，为跨国界水域的共同环境治理、开发和保护提供支撑。严格落实养殖水域滩涂规划和生态保护红线等管控要求，规范并逐步减少滩涂和近海海水</w:t>
      </w:r>
      <w:r>
        <w:rPr>
          <w:rFonts w:ascii="Times New Roman" w:eastAsia="仿宋_GB2312" w:hAnsi="Times New Roman" w:cs="Times New Roman" w:hint="eastAsia"/>
          <w:sz w:val="32"/>
          <w:szCs w:val="32"/>
        </w:rPr>
        <w:lastRenderedPageBreak/>
        <w:t>养殖。严格海水养殖投入品管理，推进养殖尾水处理设施建设与改造，确保海水养殖尾水达标排放。提升港口绿色发展理念，完善港口和船舶污染物接收处置转运机制。推进海洋风险防控体系建设，完善船舶污染物接收、转运和处置联合监管制度，提升港口码头污染物接收处置能力和污染事故应急能力，完善溢油、危化品泄露等应急响应和指挥体系。</w:t>
      </w:r>
    </w:p>
    <w:p w:rsidR="00A765C5" w:rsidRDefault="00702EF7" w:rsidP="006B5E5D">
      <w:pPr>
        <w:pStyle w:val="2"/>
        <w:numPr>
          <w:ilvl w:val="0"/>
          <w:numId w:val="14"/>
        </w:numPr>
        <w:snapToGrid w:val="0"/>
        <w:spacing w:beforeLines="50" w:before="156" w:afterLines="50" w:after="156" w:line="600" w:lineRule="exact"/>
        <w:jc w:val="center"/>
        <w:rPr>
          <w:rFonts w:ascii="Times New Roman" w:eastAsia="黑体" w:hAnsi="Times New Roman"/>
          <w:b w:val="0"/>
          <w:bCs w:val="0"/>
          <w:sz w:val="32"/>
        </w:rPr>
      </w:pPr>
      <w:bookmarkStart w:id="1904" w:name="_Toc32435"/>
      <w:bookmarkStart w:id="1905" w:name="_Toc4928"/>
      <w:bookmarkStart w:id="1906" w:name="_Toc5696"/>
      <w:bookmarkStart w:id="1907" w:name="_Toc16410"/>
      <w:bookmarkStart w:id="1908" w:name="_Toc9318"/>
      <w:bookmarkStart w:id="1909" w:name="_Toc24417"/>
      <w:bookmarkStart w:id="1910" w:name="_Toc9898"/>
      <w:bookmarkStart w:id="1911" w:name="_Toc19820"/>
      <w:bookmarkStart w:id="1912" w:name="_Toc5606"/>
      <w:bookmarkStart w:id="1913" w:name="_Toc444"/>
      <w:r>
        <w:rPr>
          <w:rFonts w:ascii="Times New Roman" w:eastAsia="黑体" w:hAnsi="Times New Roman" w:hint="eastAsia"/>
          <w:b w:val="0"/>
          <w:bCs w:val="0"/>
          <w:sz w:val="32"/>
        </w:rPr>
        <w:t>加强海洋资源保护利用</w:t>
      </w:r>
      <w:bookmarkEnd w:id="1904"/>
      <w:bookmarkEnd w:id="1905"/>
      <w:bookmarkEnd w:id="1906"/>
      <w:bookmarkEnd w:id="1907"/>
      <w:bookmarkEnd w:id="1908"/>
      <w:bookmarkEnd w:id="1909"/>
      <w:bookmarkEnd w:id="1910"/>
      <w:bookmarkEnd w:id="1911"/>
      <w:bookmarkEnd w:id="1912"/>
      <w:bookmarkEnd w:id="1913"/>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14" w:name="_Toc25702"/>
      <w:bookmarkStart w:id="1915" w:name="_Toc26468"/>
      <w:bookmarkStart w:id="1916" w:name="_Toc624"/>
      <w:bookmarkStart w:id="1917" w:name="_Toc18109"/>
      <w:bookmarkStart w:id="1918" w:name="_Toc11475"/>
      <w:bookmarkStart w:id="1919" w:name="_Toc25960"/>
      <w:bookmarkStart w:id="1920" w:name="_Toc14565"/>
      <w:bookmarkStart w:id="1921" w:name="_Toc12561"/>
      <w:r>
        <w:rPr>
          <w:rFonts w:ascii="Times New Roman" w:eastAsia="楷体_GB2312" w:hAnsi="Times New Roman" w:cs="Times New Roman" w:hint="eastAsia"/>
          <w:sz w:val="32"/>
          <w:szCs w:val="32"/>
        </w:rPr>
        <w:t>严格保护海洋生态空间</w:t>
      </w:r>
      <w:bookmarkEnd w:id="1914"/>
      <w:bookmarkEnd w:id="1915"/>
      <w:bookmarkEnd w:id="1916"/>
      <w:bookmarkEnd w:id="1917"/>
      <w:bookmarkEnd w:id="1918"/>
      <w:bookmarkEnd w:id="1919"/>
      <w:bookmarkEnd w:id="1920"/>
      <w:bookmarkEnd w:id="1921"/>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将河口水域、沿海滩涂、滨海湿地、浅海水域等重要滨海湿地生态系统，珍稀濒危物种分布区等重要海洋生态区域纳入生态保护空间，建设连续型生态廊道保证生态安全，保证物种迁徙、保护鸟类停歇地与鱼类洄游区生态环境。强化滨海湿地履约和国际合作，加强公众宣传，实施中国候鸟迁飞路线湿地保护，维护鸟类种群数量稳定。开展鸭绿江口海洋生物多样性调查、监测和评估，建立监管信息系统，及时掌握海洋生物多样性本底。</w:t>
      </w:r>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加强海洋生物资源养护，鼓励建立以人工鱼礁为载体、底播增殖为手段、增殖放流为补充的海洋牧场示范区。</w:t>
      </w:r>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统筹协调解决保护区和渔业养殖活动的矛盾，不符合自然保护地、生态红线管</w:t>
      </w:r>
      <w:proofErr w:type="gramStart"/>
      <w:r>
        <w:rPr>
          <w:rFonts w:ascii="Times New Roman" w:eastAsia="仿宋_GB2312" w:hAnsi="Times New Roman" w:cs="Times New Roman" w:hint="eastAsia"/>
          <w:sz w:val="32"/>
          <w:szCs w:val="32"/>
        </w:rPr>
        <w:t>控要求</w:t>
      </w:r>
      <w:proofErr w:type="gramEnd"/>
      <w:r>
        <w:rPr>
          <w:rFonts w:ascii="Times New Roman" w:eastAsia="仿宋_GB2312" w:hAnsi="Times New Roman" w:cs="Times New Roman" w:hint="eastAsia"/>
          <w:sz w:val="32"/>
          <w:szCs w:val="32"/>
        </w:rPr>
        <w:t>的渔业增养殖活动到期后应逐步退出；优化规范丹东鸭绿江口国家级自然保护区周边港口及临港产业布局，预留充足安全防护距离，增强污染防治能</w:t>
      </w:r>
      <w:r>
        <w:rPr>
          <w:rFonts w:ascii="Times New Roman" w:eastAsia="仿宋_GB2312" w:hAnsi="Times New Roman" w:cs="Times New Roman" w:hint="eastAsia"/>
          <w:sz w:val="32"/>
          <w:szCs w:val="32"/>
        </w:rPr>
        <w:lastRenderedPageBreak/>
        <w:t>力，加强环境风险管控。规范并清理自然保护地、红线区内各类违法建筑物、构筑物和排污口。</w:t>
      </w:r>
    </w:p>
    <w:p w:rsidR="00A765C5" w:rsidRDefault="00702EF7">
      <w:pPr>
        <w:snapToGrid w:val="0"/>
        <w:spacing w:line="600" w:lineRule="exact"/>
        <w:ind w:firstLineChars="200" w:firstLine="640"/>
        <w:jc w:val="left"/>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推进鸭绿江江口、大洋河河口，以及岸滩、湿地、海岛等综合保护修复。逐步恢复保护区周边湿地生态功能及滩涂生境，恢复原</w:t>
      </w:r>
      <w:proofErr w:type="gramStart"/>
      <w:r>
        <w:rPr>
          <w:rFonts w:ascii="Times New Roman" w:eastAsia="仿宋_GB2312" w:hAnsi="Times New Roman" w:cs="Times New Roman" w:hint="eastAsia"/>
          <w:sz w:val="32"/>
          <w:szCs w:val="32"/>
        </w:rPr>
        <w:t>生植</w:t>
      </w:r>
      <w:proofErr w:type="gramEnd"/>
      <w:r>
        <w:rPr>
          <w:rFonts w:ascii="Times New Roman" w:eastAsia="仿宋_GB2312" w:hAnsi="Times New Roman" w:cs="Times New Roman" w:hint="eastAsia"/>
          <w:sz w:val="32"/>
          <w:szCs w:val="32"/>
        </w:rPr>
        <w:t>被系统，提升岸线生态功能和防护能力。</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22" w:name="_Toc11526"/>
      <w:bookmarkStart w:id="1923" w:name="_Toc7860"/>
      <w:bookmarkStart w:id="1924" w:name="_Toc25443"/>
      <w:bookmarkStart w:id="1925" w:name="_Toc8393"/>
      <w:bookmarkStart w:id="1926" w:name="_Toc3380"/>
      <w:bookmarkStart w:id="1927" w:name="_Toc22776"/>
      <w:bookmarkStart w:id="1928" w:name="_Toc31436"/>
      <w:bookmarkStart w:id="1929" w:name="_Toc18559"/>
      <w:r>
        <w:rPr>
          <w:rFonts w:ascii="Times New Roman" w:eastAsia="楷体_GB2312" w:hAnsi="Times New Roman" w:cs="Times New Roman" w:hint="eastAsia"/>
          <w:sz w:val="32"/>
          <w:szCs w:val="32"/>
        </w:rPr>
        <w:t>分类保护利用海岸线资源</w:t>
      </w:r>
      <w:bookmarkEnd w:id="1922"/>
      <w:bookmarkEnd w:id="1923"/>
      <w:bookmarkEnd w:id="1924"/>
      <w:bookmarkEnd w:id="1925"/>
      <w:bookmarkEnd w:id="1926"/>
      <w:bookmarkEnd w:id="1927"/>
      <w:bookmarkEnd w:id="1928"/>
      <w:bookmarkEnd w:id="1929"/>
    </w:p>
    <w:p w:rsidR="00A765C5" w:rsidRDefault="00702EF7">
      <w:pPr>
        <w:spacing w:line="360" w:lineRule="auto"/>
        <w:ind w:firstLineChars="200" w:firstLine="640"/>
        <w:rPr>
          <w:rFonts w:ascii="Times New Roman" w:eastAsia="仿宋_GB2312" w:hAnsi="Times New Roman" w:cs="Times New Roman"/>
          <w:sz w:val="32"/>
          <w:szCs w:val="32"/>
        </w:rPr>
      </w:pPr>
      <w:bookmarkStart w:id="1930" w:name="OLE_LINK9"/>
      <w:bookmarkStart w:id="1931" w:name="OLE_LINK10"/>
      <w:r>
        <w:rPr>
          <w:rFonts w:ascii="Times New Roman" w:eastAsia="仿宋_GB2312" w:hAnsi="Times New Roman" w:cs="Times New Roman" w:hint="eastAsia"/>
          <w:sz w:val="32"/>
          <w:szCs w:val="32"/>
        </w:rPr>
        <w:t>加强自然岸线管控，推进生态修复，将整治修复后具有自然海岸形态特征和生态功能的岸线，纳入自然岸线管控，提升大陆自然岸线保有率。全面加强自然岸线保护工作，实行自然岸线“零占用”，除国家重大项目外，严禁工程项目占用自然岸线，国家重大项目确需占用的，应充分论证，严格审查，落实“占补平衡”要求，最大限度避让或减少占用。实施海岸线分类保护与利用，根据自然资源条件和开发程度，将丹东市大陆海岸线划分严格保护岸线、限制开发岸线和优化利用岸线三种类别。</w:t>
      </w:r>
    </w:p>
    <w:p w:rsidR="00A765C5" w:rsidRDefault="00702EF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严格保护岸线。除国防安全需要外，禁止在自然岸线保护范围内构建永久性建筑物、围填海、开采海砂、设置排污口等损害海岸地形地貌和生态环境的活动。自然岸线以外的区域允许开展防潮堤、护岸等防灾减灾设施建设，鼓励创新防潮堤建设模式，建设以抗御台风风暴潮为主，兼顾绿化、湿地及生物多样性保护等多目标的生态防潮堤。</w:t>
      </w:r>
    </w:p>
    <w:p w:rsidR="00A765C5" w:rsidRDefault="00702EF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限制开发岸线。以保护和修复生态环境为主，为发展预</w:t>
      </w:r>
      <w:r>
        <w:rPr>
          <w:rFonts w:ascii="Times New Roman" w:eastAsia="仿宋_GB2312" w:hAnsi="Times New Roman" w:cs="Times New Roman" w:hint="eastAsia"/>
          <w:sz w:val="32"/>
          <w:szCs w:val="32"/>
        </w:rPr>
        <w:lastRenderedPageBreak/>
        <w:t>留空间，控制开发强度，不安排围填海等改变海域自然属性的用海项目，在不损害生态系统功能的前提下，因地制宜，适度发展旅游、休闲渔业。允许开展防潮堤、护岸等防灾减灾设施建设。</w:t>
      </w:r>
    </w:p>
    <w:p w:rsidR="00A765C5" w:rsidRDefault="00702EF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优化利用岸线。优化利用岸线应集中布局确需占用海岸线的建设项目，严格控制占用岸线长度，提高投资强度和利用效率，优化海岸线开发格局。严格执行建设项目用海面</w:t>
      </w:r>
      <w:proofErr w:type="gramStart"/>
      <w:r>
        <w:rPr>
          <w:rFonts w:ascii="Times New Roman" w:eastAsia="仿宋_GB2312" w:hAnsi="Times New Roman" w:cs="Times New Roman" w:hint="eastAsia"/>
          <w:sz w:val="32"/>
          <w:szCs w:val="32"/>
        </w:rPr>
        <w:t>积控制</w:t>
      </w:r>
      <w:proofErr w:type="gramEnd"/>
      <w:r>
        <w:rPr>
          <w:rFonts w:ascii="Times New Roman" w:eastAsia="仿宋_GB2312" w:hAnsi="Times New Roman" w:cs="Times New Roman" w:hint="eastAsia"/>
          <w:sz w:val="32"/>
          <w:szCs w:val="32"/>
        </w:rPr>
        <w:t>指标等相关技术标准，提高海岸线利用效率。探索建立海岸建筑退缩线制度，加强海岸线相近陆域管理。</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32" w:name="_Toc26862"/>
      <w:bookmarkStart w:id="1933" w:name="_Toc6192"/>
      <w:bookmarkStart w:id="1934" w:name="_Toc26195"/>
      <w:bookmarkStart w:id="1935" w:name="_Toc24718"/>
      <w:bookmarkStart w:id="1936" w:name="_Toc2450"/>
      <w:r>
        <w:rPr>
          <w:rFonts w:ascii="Times New Roman" w:eastAsia="楷体_GB2312" w:hAnsi="Times New Roman" w:cs="Times New Roman" w:hint="eastAsia"/>
          <w:sz w:val="32"/>
          <w:szCs w:val="32"/>
        </w:rPr>
        <w:t>优化岸线利用功能与空间布局</w:t>
      </w:r>
      <w:bookmarkEnd w:id="1932"/>
      <w:bookmarkEnd w:id="1933"/>
      <w:bookmarkEnd w:id="1934"/>
      <w:bookmarkEnd w:id="1935"/>
      <w:bookmarkEnd w:id="1936"/>
    </w:p>
    <w:p w:rsidR="00A765C5" w:rsidRDefault="00702EF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构建科学适度有序的海岸线功能布局，鼓励自然化、</w:t>
      </w:r>
      <w:proofErr w:type="gramStart"/>
      <w:r>
        <w:rPr>
          <w:rFonts w:ascii="Times New Roman" w:eastAsia="仿宋_GB2312" w:hAnsi="Times New Roman" w:cs="Times New Roman" w:hint="eastAsia"/>
          <w:sz w:val="32"/>
          <w:szCs w:val="32"/>
        </w:rPr>
        <w:t>绿植化</w:t>
      </w:r>
      <w:proofErr w:type="gramEnd"/>
      <w:r>
        <w:rPr>
          <w:rFonts w:ascii="Times New Roman" w:eastAsia="仿宋_GB2312" w:hAnsi="Times New Roman" w:cs="Times New Roman" w:hint="eastAsia"/>
          <w:sz w:val="32"/>
          <w:szCs w:val="32"/>
        </w:rPr>
        <w:t>、生态化的海岸线利用方式，形成点状开发与带状利用有机融合的海岸线利用格局。深化港口岸线资源整合，原则上港口规划岸线总量零增长，鼓励公用码头建设，置换腾退“小、散、乱”码头。提高临港工业区域岸线利用效率，对于服务临港产业低效利用的港区岸线、长期闲置的港口岸线，进行岸线资源总量压缩，调整岸线用途。在丹东港大东港区、海洋红港区周边统筹规划、集中布局确需占用海岸线的建设项目。提高海岸线利用的生态门槛和产业准入门槛，禁止新增产能严重过剩以及高污染、高耗能、高排放项目用海，保障重大国家战略、新兴海洋产业和特色海洋产业园区等项目</w:t>
      </w:r>
      <w:r>
        <w:rPr>
          <w:rFonts w:ascii="Times New Roman" w:eastAsia="仿宋_GB2312" w:hAnsi="Times New Roman" w:cs="Times New Roman" w:hint="eastAsia"/>
          <w:sz w:val="32"/>
          <w:szCs w:val="32"/>
        </w:rPr>
        <w:lastRenderedPageBreak/>
        <w:t>用海。除必须临水布置或需要实施海岸线安全隔离的用海项目，新形成的海岸线与建设项目之间应留出一定宽度的生态、生活空间。菩萨庙、大洋河口等区域结合陆海功能分区，增加海岸带旅游休闲岸线供给，保护和改善基岩景观、河口湿地和人工景观海岸条件。</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37" w:name="_Toc16714"/>
      <w:bookmarkStart w:id="1938" w:name="_Toc23718"/>
      <w:bookmarkStart w:id="1939" w:name="_Toc4469"/>
      <w:bookmarkStart w:id="1940" w:name="_Toc150"/>
      <w:bookmarkStart w:id="1941" w:name="_Toc6148"/>
      <w:bookmarkStart w:id="1942" w:name="_Toc1897"/>
      <w:bookmarkStart w:id="1943" w:name="_Toc12519"/>
      <w:bookmarkStart w:id="1944" w:name="_Toc23950"/>
      <w:bookmarkStart w:id="1945" w:name="OLE_LINK30"/>
      <w:bookmarkStart w:id="1946" w:name="OLE_LINK29"/>
      <w:bookmarkEnd w:id="1930"/>
      <w:bookmarkEnd w:id="1931"/>
      <w:r>
        <w:rPr>
          <w:rFonts w:ascii="Times New Roman" w:eastAsia="楷体_GB2312" w:hAnsi="Times New Roman" w:cs="Times New Roman" w:hint="eastAsia"/>
          <w:sz w:val="32"/>
          <w:szCs w:val="32"/>
        </w:rPr>
        <w:t>引导海岛分类发展</w:t>
      </w:r>
      <w:bookmarkEnd w:id="1937"/>
      <w:bookmarkEnd w:id="1938"/>
      <w:bookmarkEnd w:id="1939"/>
      <w:bookmarkEnd w:id="1940"/>
      <w:bookmarkEnd w:id="1941"/>
      <w:bookmarkEnd w:id="1942"/>
      <w:bookmarkEnd w:id="1943"/>
      <w:bookmarkEnd w:id="1944"/>
    </w:p>
    <w:bookmarkEnd w:id="1945"/>
    <w:bookmarkEnd w:id="1946"/>
    <w:p w:rsidR="00A765C5" w:rsidRDefault="00702EF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优化利用有居民海岛。对海岛上的典型生态系统、重要的水源地、历史遗址以及助航导航、测量、气象观测、海洋监测和地震监测等公益设施建设的特殊用途区域制定严格的保护措施。优化配置海岛空间资源和水资源等稀缺资源，促进集约用岛，保障海岛经济社会的可持续发展。注重发挥海岛旅游、爱国主义教育和生态保护功能，加强百万候鸟湿地、甲午战争遗址等旅游景区服务设施建设。鼓励优先采用风能、太阳能、海洋能等可再生能源；支持海岛淡水储存、海水淡化和岛外淡水引入工程设施的建设。优先发展公共基础设施、教育、医疗卫生、文化等社会事业建设。</w:t>
      </w:r>
    </w:p>
    <w:p w:rsidR="00A765C5" w:rsidRDefault="00702EF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分类推进无居民海岛保护与利用。无居民海岛以保护为主，实施目录管理、分类管控。按主导功能划分为其他用岛、海洋发展两大类。丹东市共划定其他海岛</w:t>
      </w:r>
      <w:r>
        <w:rPr>
          <w:rFonts w:ascii="Times New Roman" w:eastAsia="仿宋_GB2312" w:hAnsi="Times New Roman" w:cs="Times New Roman" w:hint="eastAsia"/>
          <w:sz w:val="32"/>
          <w:szCs w:val="32"/>
        </w:rPr>
        <w:t>17</w:t>
      </w:r>
      <w:r>
        <w:rPr>
          <w:rFonts w:ascii="Times New Roman" w:eastAsia="仿宋_GB2312" w:hAnsi="Times New Roman" w:cs="Times New Roman" w:hint="eastAsia"/>
          <w:sz w:val="32"/>
          <w:szCs w:val="32"/>
        </w:rPr>
        <w:t>个。</w:t>
      </w:r>
      <w:proofErr w:type="gramStart"/>
      <w:r>
        <w:rPr>
          <w:rFonts w:ascii="Times New Roman" w:eastAsia="仿宋_GB2312" w:hAnsi="Times New Roman" w:cs="Times New Roman" w:hint="eastAsia"/>
          <w:sz w:val="32"/>
          <w:szCs w:val="32"/>
        </w:rPr>
        <w:t>其他用岛为</w:t>
      </w:r>
      <w:proofErr w:type="gramEnd"/>
      <w:r>
        <w:rPr>
          <w:rFonts w:ascii="Times New Roman" w:eastAsia="仿宋_GB2312" w:hAnsi="Times New Roman" w:cs="Times New Roman" w:hint="eastAsia"/>
          <w:sz w:val="32"/>
          <w:szCs w:val="32"/>
        </w:rPr>
        <w:t>纳入生态保护红线目录管理的海岛，包含自然保护地内海岛及具有珍稀濒危野生动植物及栖息地、重要自然遗迹等特</w:t>
      </w:r>
      <w:r>
        <w:rPr>
          <w:rFonts w:ascii="Times New Roman" w:eastAsia="仿宋_GB2312" w:hAnsi="Times New Roman" w:cs="Times New Roman" w:hint="eastAsia"/>
          <w:sz w:val="32"/>
          <w:szCs w:val="32"/>
        </w:rPr>
        <w:lastRenderedPageBreak/>
        <w:t>殊保护价值的海岛，严格按照生态保护红</w:t>
      </w:r>
      <w:proofErr w:type="gramStart"/>
      <w:r>
        <w:rPr>
          <w:rFonts w:ascii="Times New Roman" w:eastAsia="仿宋_GB2312" w:hAnsi="Times New Roman" w:cs="Times New Roman" w:hint="eastAsia"/>
          <w:sz w:val="32"/>
          <w:szCs w:val="32"/>
        </w:rPr>
        <w:t>线相关</w:t>
      </w:r>
      <w:proofErr w:type="gramEnd"/>
      <w:r>
        <w:rPr>
          <w:rFonts w:ascii="Times New Roman" w:eastAsia="仿宋_GB2312" w:hAnsi="Times New Roman" w:cs="Times New Roman" w:hint="eastAsia"/>
          <w:sz w:val="32"/>
          <w:szCs w:val="32"/>
        </w:rPr>
        <w:t>要求进行管控。将生态保护红线名录以外，且已开发利用的无居民海岛划定为海洋发展类海岛，丹东市有海洋发展类海岛</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个（迎门坨子），主导功能为农林牧渔业。无居民海岛实施“有偿使用”原则，完善无居民海岛产权管理体系，加快推进历史</w:t>
      </w:r>
      <w:proofErr w:type="gramStart"/>
      <w:r>
        <w:rPr>
          <w:rFonts w:ascii="Times New Roman" w:eastAsia="仿宋_GB2312" w:hAnsi="Times New Roman" w:cs="Times New Roman" w:hint="eastAsia"/>
          <w:sz w:val="32"/>
          <w:szCs w:val="32"/>
        </w:rPr>
        <w:t>遗留用岛问题</w:t>
      </w:r>
      <w:proofErr w:type="gramEnd"/>
      <w:r>
        <w:rPr>
          <w:rFonts w:ascii="Times New Roman" w:eastAsia="仿宋_GB2312" w:hAnsi="Times New Roman" w:cs="Times New Roman" w:hint="eastAsia"/>
          <w:sz w:val="32"/>
          <w:szCs w:val="32"/>
        </w:rPr>
        <w:t>处置。无居民海岛的开发利用不能超过资源环境承载能力，在开发前应制定详细规划，进一步明确开发和保护范围、开发强度的限制性要求以及保护对象、保护要求和保护目标，集约、节约用岛。</w:t>
      </w:r>
    </w:p>
    <w:p w:rsidR="00A765C5" w:rsidRDefault="00A765C5">
      <w:pPr>
        <w:pStyle w:val="a4"/>
      </w:pPr>
    </w:p>
    <w:p w:rsidR="00A765C5" w:rsidRDefault="00A765C5">
      <w:pPr>
        <w:pStyle w:val="a4"/>
        <w:sectPr w:rsidR="00A765C5">
          <w:pgSz w:w="11850" w:h="16783"/>
          <w:pgMar w:top="1440" w:right="1800" w:bottom="1440" w:left="1800" w:header="720" w:footer="720" w:gutter="0"/>
          <w:cols w:space="720"/>
          <w:docGrid w:type="lines" w:linePitch="312"/>
        </w:sectPr>
      </w:pPr>
    </w:p>
    <w:p w:rsidR="00A765C5" w:rsidRDefault="00702EF7" w:rsidP="006B5E5D">
      <w:pPr>
        <w:pStyle w:val="1"/>
        <w:numPr>
          <w:ilvl w:val="0"/>
          <w:numId w:val="1"/>
        </w:numPr>
        <w:spacing w:afterLines="150" w:after="468" w:line="600" w:lineRule="exact"/>
        <w:rPr>
          <w:rFonts w:ascii="Times New Roman" w:eastAsia="方正小标宋_GBK" w:hAnsi="Times New Roman" w:cs="Times New Roman"/>
          <w:b w:val="0"/>
          <w:sz w:val="36"/>
          <w:szCs w:val="36"/>
        </w:rPr>
      </w:pPr>
      <w:bookmarkStart w:id="1947" w:name="_Toc8978"/>
      <w:bookmarkStart w:id="1948" w:name="_Toc9152"/>
      <w:bookmarkStart w:id="1949" w:name="_Toc25278"/>
      <w:bookmarkStart w:id="1950" w:name="_Toc4744"/>
      <w:bookmarkStart w:id="1951" w:name="_Toc13880"/>
      <w:bookmarkStart w:id="1952" w:name="_Toc1871"/>
      <w:bookmarkStart w:id="1953" w:name="_Toc20603"/>
      <w:bookmarkStart w:id="1954" w:name="_Toc7269"/>
      <w:bookmarkStart w:id="1955" w:name="_Toc6753"/>
      <w:bookmarkStart w:id="1956" w:name="_Toc22602"/>
      <w:bookmarkStart w:id="1957" w:name="_Toc20020"/>
      <w:r>
        <w:rPr>
          <w:rFonts w:ascii="Times New Roman" w:eastAsia="方正小标宋_GBK" w:hAnsi="Times New Roman" w:cs="Times New Roman" w:hint="eastAsia"/>
          <w:b w:val="0"/>
          <w:sz w:val="36"/>
          <w:szCs w:val="36"/>
        </w:rPr>
        <w:lastRenderedPageBreak/>
        <w:t>推动区域</w:t>
      </w:r>
      <w:bookmarkEnd w:id="1947"/>
      <w:bookmarkEnd w:id="1948"/>
      <w:r>
        <w:rPr>
          <w:rFonts w:ascii="Times New Roman" w:eastAsia="方正小标宋_GBK" w:hAnsi="Times New Roman" w:cs="Times New Roman" w:hint="eastAsia"/>
          <w:b w:val="0"/>
          <w:sz w:val="36"/>
          <w:szCs w:val="36"/>
        </w:rPr>
        <w:t>协调</w:t>
      </w:r>
      <w:bookmarkEnd w:id="1949"/>
      <w:r>
        <w:rPr>
          <w:rFonts w:ascii="Times New Roman" w:eastAsia="方正小标宋_GBK" w:hAnsi="Times New Roman" w:cs="Times New Roman" w:hint="eastAsia"/>
          <w:b w:val="0"/>
          <w:sz w:val="36"/>
          <w:szCs w:val="36"/>
        </w:rPr>
        <w:t>发展，提升空间开放效能</w:t>
      </w:r>
      <w:bookmarkEnd w:id="1950"/>
      <w:bookmarkEnd w:id="1951"/>
      <w:bookmarkEnd w:id="1952"/>
      <w:bookmarkEnd w:id="1953"/>
      <w:bookmarkEnd w:id="1954"/>
      <w:bookmarkEnd w:id="1955"/>
      <w:bookmarkEnd w:id="1956"/>
      <w:bookmarkEnd w:id="1957"/>
    </w:p>
    <w:p w:rsidR="00A765C5" w:rsidRDefault="00702EF7" w:rsidP="006B5E5D">
      <w:pPr>
        <w:pStyle w:val="2"/>
        <w:numPr>
          <w:ilvl w:val="0"/>
          <w:numId w:val="15"/>
        </w:numPr>
        <w:snapToGrid w:val="0"/>
        <w:spacing w:beforeLines="50" w:before="156" w:afterLines="50" w:after="156" w:line="600" w:lineRule="exact"/>
        <w:jc w:val="center"/>
        <w:rPr>
          <w:rFonts w:ascii="Times New Roman" w:eastAsia="黑体" w:hAnsi="Times New Roman"/>
          <w:b w:val="0"/>
          <w:bCs w:val="0"/>
          <w:sz w:val="32"/>
        </w:rPr>
      </w:pPr>
      <w:bookmarkStart w:id="1958" w:name="_Toc30165"/>
      <w:bookmarkStart w:id="1959" w:name="_Toc4939"/>
      <w:bookmarkStart w:id="1960" w:name="_Toc18916"/>
      <w:bookmarkStart w:id="1961" w:name="_Toc1717"/>
      <w:bookmarkStart w:id="1962" w:name="_Toc7533"/>
      <w:bookmarkStart w:id="1963" w:name="_Toc4533"/>
      <w:bookmarkStart w:id="1964" w:name="_Toc23304"/>
      <w:bookmarkStart w:id="1965" w:name="_Toc17873"/>
      <w:bookmarkStart w:id="1966" w:name="_Toc28469"/>
      <w:bookmarkStart w:id="1967" w:name="_Toc2700"/>
      <w:bookmarkStart w:id="1968" w:name="_Toc31733"/>
      <w:bookmarkStart w:id="1969" w:name="_Toc20707"/>
      <w:bookmarkStart w:id="1970" w:name="_Toc78529210"/>
      <w:r>
        <w:rPr>
          <w:rFonts w:ascii="Times New Roman" w:eastAsia="黑体" w:hAnsi="Times New Roman" w:hint="eastAsia"/>
          <w:b w:val="0"/>
          <w:bCs w:val="0"/>
          <w:sz w:val="32"/>
        </w:rPr>
        <w:t>加强对外开放</w:t>
      </w:r>
      <w:bookmarkEnd w:id="1958"/>
      <w:bookmarkEnd w:id="1959"/>
      <w:bookmarkEnd w:id="1960"/>
      <w:bookmarkEnd w:id="1961"/>
      <w:bookmarkEnd w:id="1962"/>
      <w:bookmarkEnd w:id="1963"/>
      <w:bookmarkEnd w:id="1964"/>
      <w:bookmarkEnd w:id="1965"/>
      <w:bookmarkEnd w:id="1966"/>
      <w:bookmarkEnd w:id="1967"/>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71" w:name="_Toc31753"/>
      <w:bookmarkStart w:id="1972" w:name="_Toc15124"/>
      <w:bookmarkStart w:id="1973" w:name="_Toc9074"/>
      <w:bookmarkStart w:id="1974" w:name="_Toc20456"/>
      <w:bookmarkStart w:id="1975" w:name="_Toc11223"/>
      <w:bookmarkStart w:id="1976" w:name="_Toc1473"/>
      <w:bookmarkStart w:id="1977" w:name="_Toc28870"/>
      <w:bookmarkStart w:id="1978" w:name="_Toc5110"/>
      <w:r>
        <w:rPr>
          <w:rFonts w:ascii="Times New Roman" w:eastAsia="楷体_GB2312" w:hAnsi="Times New Roman" w:cs="Times New Roman" w:hint="eastAsia"/>
          <w:sz w:val="32"/>
          <w:szCs w:val="32"/>
        </w:rPr>
        <w:t>向东联动朝日韩</w:t>
      </w:r>
      <w:bookmarkEnd w:id="1971"/>
      <w:bookmarkEnd w:id="1972"/>
      <w:bookmarkEnd w:id="1973"/>
      <w:bookmarkEnd w:id="1974"/>
      <w:bookmarkEnd w:id="1975"/>
      <w:bookmarkEnd w:id="1976"/>
      <w:bookmarkEnd w:id="1977"/>
      <w:bookmarkEnd w:id="1978"/>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在条件允许的情况下，进一步扩大中朝互市边贸规模，在经贸、交通、旅游、文化、教育等领域取得合作新突破，建设以面向朝鲜半岛为重点的东北亚开放合作先导区。</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79" w:name="_Toc27959"/>
      <w:bookmarkStart w:id="1980" w:name="_Toc1092"/>
      <w:bookmarkStart w:id="1981" w:name="_Toc22901"/>
      <w:bookmarkStart w:id="1982" w:name="_Toc29375"/>
      <w:bookmarkStart w:id="1983" w:name="_Toc21558"/>
      <w:bookmarkStart w:id="1984" w:name="_Toc16441"/>
      <w:bookmarkStart w:id="1985" w:name="_Toc19346"/>
      <w:bookmarkStart w:id="1986" w:name="_Toc12948"/>
      <w:r>
        <w:rPr>
          <w:rFonts w:ascii="Times New Roman" w:eastAsia="楷体_GB2312" w:hAnsi="Times New Roman" w:cs="Times New Roman" w:hint="eastAsia"/>
          <w:sz w:val="32"/>
          <w:szCs w:val="32"/>
        </w:rPr>
        <w:t>向北对接蒙俄</w:t>
      </w:r>
      <w:bookmarkEnd w:id="1979"/>
      <w:bookmarkEnd w:id="1980"/>
      <w:bookmarkEnd w:id="1981"/>
      <w:bookmarkEnd w:id="1982"/>
      <w:bookmarkEnd w:id="1983"/>
      <w:bookmarkEnd w:id="1984"/>
      <w:bookmarkEnd w:id="1985"/>
      <w:bookmarkEnd w:id="1986"/>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积极推动共建辽宁与中蒙俄经济走廊对接合作项目，加快融入“辽珲俄”“辽满欧”“辽蒙欧”运输大通道，打造东北海陆大通道起点港口城市。</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87" w:name="_Toc2868"/>
      <w:bookmarkStart w:id="1988" w:name="_Toc2337"/>
      <w:bookmarkStart w:id="1989" w:name="_Toc11301"/>
      <w:bookmarkStart w:id="1990" w:name="_Toc26494"/>
      <w:bookmarkStart w:id="1991" w:name="_Toc1457"/>
      <w:bookmarkStart w:id="1992" w:name="_Toc25623"/>
      <w:bookmarkStart w:id="1993" w:name="_Toc16157"/>
      <w:bookmarkStart w:id="1994" w:name="_Toc14319"/>
      <w:r>
        <w:rPr>
          <w:rFonts w:ascii="Times New Roman" w:eastAsia="楷体_GB2312" w:hAnsi="Times New Roman" w:cs="Times New Roman" w:hint="eastAsia"/>
          <w:sz w:val="32"/>
          <w:szCs w:val="32"/>
        </w:rPr>
        <w:t>向西对接京津冀和新欧亚大陆桥</w:t>
      </w:r>
      <w:bookmarkEnd w:id="1987"/>
      <w:bookmarkEnd w:id="1988"/>
      <w:bookmarkEnd w:id="1989"/>
      <w:bookmarkEnd w:id="1990"/>
      <w:bookmarkEnd w:id="1991"/>
      <w:bookmarkEnd w:id="1992"/>
      <w:bookmarkEnd w:id="1993"/>
      <w:bookmarkEnd w:id="1994"/>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深化与京津冀地区通道、产业、平台和市场的对接，积极融入辽宁构筑连通新亚欧大陆桥的“辽新欧”中欧班列通道，加强与欧洲国家先进科技和高端装备制造业的投资贸易合作，推动丹东市产业优化升级。</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1995" w:name="_Toc16488"/>
      <w:bookmarkStart w:id="1996" w:name="_Toc11278"/>
      <w:bookmarkStart w:id="1997" w:name="_Toc5063"/>
      <w:bookmarkStart w:id="1998" w:name="_Toc16498"/>
      <w:bookmarkStart w:id="1999" w:name="_Toc8986"/>
      <w:bookmarkStart w:id="2000" w:name="_Toc25036"/>
      <w:bookmarkStart w:id="2001" w:name="_Toc31030"/>
      <w:bookmarkStart w:id="2002" w:name="_Toc24641"/>
      <w:r>
        <w:rPr>
          <w:rFonts w:ascii="Times New Roman" w:eastAsia="楷体_GB2312" w:hAnsi="Times New Roman" w:cs="Times New Roman" w:hint="eastAsia"/>
          <w:sz w:val="32"/>
          <w:szCs w:val="32"/>
        </w:rPr>
        <w:t>向南拓展长三角、粤港澳和东南亚国家</w:t>
      </w:r>
      <w:bookmarkEnd w:id="1995"/>
      <w:bookmarkEnd w:id="1996"/>
      <w:bookmarkEnd w:id="1997"/>
      <w:bookmarkEnd w:id="1998"/>
      <w:bookmarkEnd w:id="1999"/>
      <w:bookmarkEnd w:id="2000"/>
      <w:bookmarkEnd w:id="2001"/>
      <w:bookmarkEnd w:id="2002"/>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主动</w:t>
      </w:r>
      <w:proofErr w:type="gramStart"/>
      <w:r>
        <w:rPr>
          <w:rFonts w:ascii="Times New Roman" w:eastAsia="仿宋_GB2312" w:hAnsi="Times New Roman" w:cs="Times New Roman" w:hint="eastAsia"/>
          <w:sz w:val="32"/>
          <w:szCs w:val="32"/>
        </w:rPr>
        <w:t>对接长</w:t>
      </w:r>
      <w:proofErr w:type="gramEnd"/>
      <w:r>
        <w:rPr>
          <w:rFonts w:ascii="Times New Roman" w:eastAsia="仿宋_GB2312" w:hAnsi="Times New Roman" w:cs="Times New Roman" w:hint="eastAsia"/>
          <w:sz w:val="32"/>
          <w:szCs w:val="32"/>
        </w:rPr>
        <w:t>三角地区、粤港澳大湾区、海南自由贸易港，创新与扬州对口合作机制，深化区域合作。依托“区域全面经济伙伴关系协定”（</w:t>
      </w:r>
      <w:r>
        <w:rPr>
          <w:rFonts w:ascii="Times New Roman" w:eastAsia="仿宋_GB2312" w:hAnsi="Times New Roman" w:cs="Times New Roman" w:hint="eastAsia"/>
          <w:sz w:val="32"/>
          <w:szCs w:val="32"/>
        </w:rPr>
        <w:t>RCEP</w:t>
      </w:r>
      <w:r>
        <w:rPr>
          <w:rFonts w:ascii="Times New Roman" w:eastAsia="仿宋_GB2312" w:hAnsi="Times New Roman" w:cs="Times New Roman" w:hint="eastAsia"/>
          <w:sz w:val="32"/>
          <w:szCs w:val="32"/>
        </w:rPr>
        <w:t>）和中国</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东盟自由贸易区，深化与东盟地区全方位合作，带动丹东市外贸发展。</w:t>
      </w:r>
    </w:p>
    <w:p w:rsidR="00A765C5" w:rsidRDefault="00702EF7" w:rsidP="006B5E5D">
      <w:pPr>
        <w:pStyle w:val="2"/>
        <w:numPr>
          <w:ilvl w:val="0"/>
          <w:numId w:val="15"/>
        </w:numPr>
        <w:snapToGrid w:val="0"/>
        <w:spacing w:beforeLines="50" w:before="156" w:afterLines="50" w:after="156" w:line="600" w:lineRule="exact"/>
        <w:jc w:val="center"/>
        <w:rPr>
          <w:rFonts w:ascii="Times New Roman" w:eastAsia="黑体" w:hAnsi="Times New Roman"/>
          <w:b w:val="0"/>
          <w:bCs w:val="0"/>
          <w:sz w:val="32"/>
        </w:rPr>
      </w:pPr>
      <w:bookmarkStart w:id="2003" w:name="_Toc13040"/>
      <w:bookmarkStart w:id="2004" w:name="_Toc11737"/>
      <w:bookmarkStart w:id="2005" w:name="_Toc4871"/>
      <w:bookmarkStart w:id="2006" w:name="_Toc7745"/>
      <w:bookmarkStart w:id="2007" w:name="_Toc7864"/>
      <w:bookmarkStart w:id="2008" w:name="_Toc25212"/>
      <w:bookmarkStart w:id="2009" w:name="_Toc30522"/>
      <w:r>
        <w:rPr>
          <w:rFonts w:ascii="Times New Roman" w:eastAsia="黑体" w:hAnsi="Times New Roman" w:hint="eastAsia"/>
          <w:b w:val="0"/>
          <w:bCs w:val="0"/>
          <w:sz w:val="32"/>
        </w:rPr>
        <w:lastRenderedPageBreak/>
        <w:t>持续深化区域协调</w:t>
      </w:r>
      <w:bookmarkEnd w:id="2003"/>
      <w:bookmarkEnd w:id="2004"/>
      <w:bookmarkEnd w:id="2005"/>
      <w:bookmarkEnd w:id="2006"/>
      <w:bookmarkEnd w:id="2007"/>
      <w:bookmarkEnd w:id="2008"/>
      <w:bookmarkEnd w:id="2009"/>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010" w:name="_Toc3893"/>
      <w:bookmarkStart w:id="2011" w:name="_Toc30373"/>
      <w:bookmarkStart w:id="2012" w:name="_Toc13502"/>
      <w:bookmarkStart w:id="2013" w:name="_Toc11209"/>
      <w:bookmarkStart w:id="2014" w:name="_Toc30670"/>
      <w:bookmarkStart w:id="2015" w:name="_Toc22838"/>
      <w:bookmarkStart w:id="2016" w:name="_Toc2826"/>
      <w:bookmarkStart w:id="2017" w:name="_Toc1843"/>
      <w:r>
        <w:rPr>
          <w:rFonts w:ascii="Times New Roman" w:eastAsia="楷体_GB2312" w:hAnsi="Times New Roman" w:cs="Times New Roman" w:hint="eastAsia"/>
          <w:sz w:val="32"/>
          <w:szCs w:val="32"/>
        </w:rPr>
        <w:t>积极推进东北东部区域合作</w:t>
      </w:r>
      <w:bookmarkEnd w:id="2010"/>
      <w:bookmarkEnd w:id="2011"/>
      <w:bookmarkEnd w:id="2012"/>
      <w:bookmarkEnd w:id="2013"/>
      <w:bookmarkEnd w:id="2014"/>
      <w:bookmarkEnd w:id="2015"/>
      <w:bookmarkEnd w:id="2016"/>
      <w:bookmarkEnd w:id="2017"/>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深化东北东部地区合作机制，加强与吉林、黑龙江等地开展重点区域合作，合力推动东北东部“一轴三区七通道”建设。加快构建东北东部地区综合立体交通体系，与吉林、黑龙江共建东边道，完善连接东北地区腹地通道。在东北东部和内蒙区东部地区布局建设一批新陆港，积极参与和引领东北东部地区产业分工协作。深入对接“吉林向南”发展战略，加快推进“长白通丹”区域发展一体化进程，打造东北东部绿色经济带协同发展先导区和示范区。</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018" w:name="_Toc15962"/>
      <w:bookmarkStart w:id="2019" w:name="_Toc5358"/>
      <w:bookmarkStart w:id="2020" w:name="_Toc30057"/>
      <w:bookmarkStart w:id="2021" w:name="_Toc15261"/>
      <w:bookmarkStart w:id="2022" w:name="_Toc16668"/>
      <w:bookmarkStart w:id="2023" w:name="_Toc20884"/>
      <w:r>
        <w:rPr>
          <w:rFonts w:ascii="Times New Roman" w:eastAsia="楷体_GB2312" w:hAnsi="Times New Roman" w:cs="Times New Roman" w:hint="eastAsia"/>
          <w:sz w:val="32"/>
          <w:szCs w:val="32"/>
        </w:rPr>
        <w:t>深度参与辽宁省区域合作</w:t>
      </w:r>
      <w:bookmarkEnd w:id="2018"/>
      <w:bookmarkEnd w:id="2019"/>
      <w:bookmarkEnd w:id="2020"/>
      <w:bookmarkEnd w:id="2021"/>
      <w:bookmarkEnd w:id="2022"/>
      <w:bookmarkEnd w:id="2023"/>
    </w:p>
    <w:p w:rsidR="00A765C5" w:rsidRDefault="00702EF7">
      <w:pPr>
        <w:snapToGrid w:val="0"/>
        <w:spacing w:line="60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积极融入辽宁省以沈阳、大连“双核”为牵引的“一圈一带两区”区域发展战略，主动对接公共服务、产业、项目、人才、资金以及改革创新等领域，开展全方位合作，促进各类要素合理流动和高效集聚。</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024" w:name="_Toc19834"/>
      <w:bookmarkStart w:id="2025" w:name="_Toc8057"/>
      <w:bookmarkStart w:id="2026" w:name="_Toc3977"/>
      <w:bookmarkStart w:id="2027" w:name="_Toc14247"/>
      <w:bookmarkStart w:id="2028" w:name="_Toc7367"/>
      <w:bookmarkStart w:id="2029" w:name="_Toc9438"/>
      <w:bookmarkStart w:id="2030" w:name="_Toc7523"/>
      <w:bookmarkStart w:id="2031" w:name="_Toc22218"/>
      <w:r>
        <w:rPr>
          <w:rFonts w:ascii="Times New Roman" w:eastAsia="楷体_GB2312" w:hAnsi="Times New Roman" w:cs="Times New Roman" w:hint="eastAsia"/>
          <w:sz w:val="32"/>
          <w:szCs w:val="32"/>
        </w:rPr>
        <w:t>共建辽宁沿海经济带</w:t>
      </w:r>
      <w:bookmarkEnd w:id="2024"/>
      <w:bookmarkEnd w:id="2025"/>
      <w:bookmarkEnd w:id="2026"/>
      <w:bookmarkEnd w:id="2027"/>
      <w:bookmarkEnd w:id="2028"/>
      <w:bookmarkEnd w:id="2029"/>
      <w:bookmarkEnd w:id="2030"/>
      <w:bookmarkEnd w:id="2031"/>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全面参与辽宁沿海经济带新旧动能转换试验，培育丹东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东港组合型生态宜居城市，打造辽宁沿海经济带开发开放新高地。深入推进合作区与大连经开区合作取得实效，协同大连共建海洋生态经济发展高地和海上清洁能源基地。畅通海陆大通道，建设长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白</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通</w:t>
      </w:r>
      <w:r>
        <w:rPr>
          <w:rFonts w:ascii="Times New Roman" w:eastAsia="仿宋_GB2312" w:hAnsi="Times New Roman" w:cs="Times New Roman" w:hint="eastAsia"/>
          <w:sz w:val="32"/>
          <w:szCs w:val="32"/>
        </w:rPr>
        <w:t>-</w:t>
      </w:r>
      <w:proofErr w:type="gramStart"/>
      <w:r>
        <w:rPr>
          <w:rFonts w:ascii="Times New Roman" w:eastAsia="仿宋_GB2312" w:hAnsi="Times New Roman" w:cs="Times New Roman" w:hint="eastAsia"/>
          <w:sz w:val="32"/>
          <w:szCs w:val="32"/>
        </w:rPr>
        <w:t>丹运输</w:t>
      </w:r>
      <w:proofErr w:type="gramEnd"/>
      <w:r>
        <w:rPr>
          <w:rFonts w:ascii="Times New Roman" w:eastAsia="仿宋_GB2312" w:hAnsi="Times New Roman" w:cs="Times New Roman" w:hint="eastAsia"/>
          <w:sz w:val="32"/>
          <w:szCs w:val="32"/>
        </w:rPr>
        <w:t>通道，推进丹东国家物流</w:t>
      </w:r>
      <w:r>
        <w:rPr>
          <w:rFonts w:ascii="Times New Roman" w:eastAsia="仿宋_GB2312" w:hAnsi="Times New Roman" w:cs="Times New Roman" w:hint="eastAsia"/>
          <w:sz w:val="32"/>
          <w:szCs w:val="32"/>
        </w:rPr>
        <w:lastRenderedPageBreak/>
        <w:t>枢纽及口岸设施建设。打造高质量对外开放平台，支持丹东市外贸创新发展，有序建设边民互市贸易区，培育互市贸易商品二级市场。加快重大科技创新平台建设，推进丹东市产业技术创新与育成中心区域创新载体建设。</w:t>
      </w:r>
    </w:p>
    <w:p w:rsidR="00A765C5" w:rsidRDefault="00702EF7" w:rsidP="006B5E5D">
      <w:pPr>
        <w:numPr>
          <w:ilvl w:val="0"/>
          <w:numId w:val="2"/>
        </w:numPr>
        <w:snapToGrid w:val="0"/>
        <w:spacing w:beforeLines="50" w:before="156" w:afterLines="50" w:after="156" w:line="600" w:lineRule="exact"/>
        <w:ind w:firstLineChars="200" w:firstLine="640"/>
        <w:jc w:val="left"/>
        <w:outlineLvl w:val="0"/>
        <w:rPr>
          <w:rFonts w:ascii="Times New Roman" w:eastAsia="楷体_GB2312" w:hAnsi="Times New Roman" w:cs="Times New Roman"/>
          <w:sz w:val="32"/>
          <w:szCs w:val="32"/>
        </w:rPr>
      </w:pPr>
      <w:bookmarkStart w:id="2032" w:name="_Toc8792"/>
      <w:bookmarkStart w:id="2033" w:name="_Toc31175"/>
      <w:bookmarkStart w:id="2034" w:name="_Toc16443"/>
      <w:bookmarkStart w:id="2035" w:name="_Toc22699"/>
      <w:bookmarkStart w:id="2036" w:name="_Toc17313"/>
      <w:bookmarkStart w:id="2037" w:name="_Toc27978"/>
      <w:bookmarkStart w:id="2038" w:name="_Toc17437"/>
      <w:bookmarkStart w:id="2039" w:name="_Toc28623"/>
      <w:r>
        <w:rPr>
          <w:rFonts w:ascii="Times New Roman" w:eastAsia="楷体_GB2312" w:hAnsi="Times New Roman" w:cs="Times New Roman" w:hint="eastAsia"/>
          <w:sz w:val="32"/>
          <w:szCs w:val="32"/>
        </w:rPr>
        <w:t>加快融入辽东绿色经济区</w:t>
      </w:r>
      <w:bookmarkEnd w:id="2032"/>
      <w:bookmarkEnd w:id="2033"/>
      <w:bookmarkEnd w:id="2034"/>
      <w:bookmarkEnd w:id="2035"/>
      <w:bookmarkEnd w:id="2036"/>
      <w:bookmarkEnd w:id="2037"/>
      <w:bookmarkEnd w:id="2038"/>
      <w:bookmarkEnd w:id="2039"/>
    </w:p>
    <w:p w:rsidR="00A765C5" w:rsidRDefault="00702EF7">
      <w:pPr>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依托</w:t>
      </w:r>
      <w:proofErr w:type="gramStart"/>
      <w:r>
        <w:rPr>
          <w:rFonts w:ascii="Times New Roman" w:eastAsia="仿宋_GB2312" w:hAnsi="Times New Roman" w:cs="Times New Roman" w:hint="eastAsia"/>
          <w:sz w:val="32"/>
          <w:szCs w:val="32"/>
        </w:rPr>
        <w:t>凤</w:t>
      </w:r>
      <w:proofErr w:type="gramEnd"/>
      <w:r>
        <w:rPr>
          <w:rFonts w:ascii="Times New Roman" w:eastAsia="仿宋_GB2312" w:hAnsi="Times New Roman" w:cs="Times New Roman" w:hint="eastAsia"/>
          <w:sz w:val="32"/>
          <w:szCs w:val="32"/>
        </w:rPr>
        <w:t>城市、宽甸满族自治县丰富的森林资源和优质的水资源，加强与岫岩满族自治县、本溪满族自治县等在旅游产业、林下经济、生态</w:t>
      </w:r>
      <w:proofErr w:type="gramStart"/>
      <w:r>
        <w:rPr>
          <w:rFonts w:ascii="Times New Roman" w:eastAsia="仿宋_GB2312" w:hAnsi="Times New Roman" w:cs="Times New Roman" w:hint="eastAsia"/>
          <w:sz w:val="32"/>
          <w:szCs w:val="32"/>
        </w:rPr>
        <w:t>保育等</w:t>
      </w:r>
      <w:proofErr w:type="gramEnd"/>
      <w:r>
        <w:rPr>
          <w:rFonts w:ascii="Times New Roman" w:eastAsia="仿宋_GB2312" w:hAnsi="Times New Roman" w:cs="Times New Roman" w:hint="eastAsia"/>
          <w:sz w:val="32"/>
          <w:szCs w:val="32"/>
        </w:rPr>
        <w:t>方面的协同合作，统筹共建辽东山地丘陵水源涵养与水土保持生态屏障。全面提升森林生态功能，积极建设国家林产品交易中心东北分中心。强化水资源、水生态保护治理，加强鸭绿江、浑江等水生态保护修复，打造“辽宁水塔”。加强湿地保护和绿色田园建设，重点推进宽甸蒲石河等湿地保护项目。推进生态产业化和产业生态化，</w:t>
      </w:r>
      <w:proofErr w:type="gramStart"/>
      <w:r>
        <w:rPr>
          <w:rFonts w:ascii="Times New Roman" w:eastAsia="仿宋_GB2312" w:hAnsi="Times New Roman" w:cs="Times New Roman" w:hint="eastAsia"/>
          <w:sz w:val="32"/>
          <w:szCs w:val="32"/>
        </w:rPr>
        <w:t>做优做</w:t>
      </w:r>
      <w:proofErr w:type="gramEnd"/>
      <w:r>
        <w:rPr>
          <w:rFonts w:ascii="Times New Roman" w:eastAsia="仿宋_GB2312" w:hAnsi="Times New Roman" w:cs="Times New Roman" w:hint="eastAsia"/>
          <w:sz w:val="32"/>
          <w:szCs w:val="32"/>
        </w:rPr>
        <w:t>强林下经济，培育壮大绿色加工产业，推进丹东杜鹃木本花卉基地等项目建设，培育“鸭绿江”等地理标志品牌，打造成为辽东绿色经济区发展的先行区。协同推进鸭绿江边境旅游带建设，发展宽</w:t>
      </w:r>
      <w:proofErr w:type="gramStart"/>
      <w:r>
        <w:rPr>
          <w:rFonts w:ascii="Times New Roman" w:eastAsia="仿宋_GB2312" w:hAnsi="Times New Roman" w:cs="Times New Roman" w:hint="eastAsia"/>
          <w:sz w:val="32"/>
          <w:szCs w:val="32"/>
        </w:rPr>
        <w:t>甸</w:t>
      </w:r>
      <w:proofErr w:type="gramEnd"/>
      <w:r>
        <w:rPr>
          <w:rFonts w:ascii="Times New Roman" w:eastAsia="仿宋_GB2312" w:hAnsi="Times New Roman" w:cs="Times New Roman" w:hint="eastAsia"/>
          <w:sz w:val="32"/>
          <w:szCs w:val="32"/>
        </w:rPr>
        <w:t>天桥沟、凤城大梨树等乡村生态游和民俗文化游，推动建设跨境旅游合作区。</w:t>
      </w:r>
    </w:p>
    <w:bookmarkEnd w:id="1968"/>
    <w:bookmarkEnd w:id="1969"/>
    <w:bookmarkEnd w:id="1970"/>
    <w:p w:rsidR="00A765C5" w:rsidRDefault="00A765C5">
      <w:pPr>
        <w:snapToGrid w:val="0"/>
        <w:spacing w:line="600" w:lineRule="exact"/>
        <w:ind w:firstLineChars="200" w:firstLine="640"/>
        <w:rPr>
          <w:rFonts w:ascii="Times New Roman" w:eastAsia="仿宋_GB2312" w:hAnsi="Times New Roman" w:cs="Times New Roman"/>
          <w:sz w:val="32"/>
          <w:szCs w:val="32"/>
        </w:rPr>
        <w:sectPr w:rsidR="00A765C5">
          <w:pgSz w:w="11850" w:h="16783"/>
          <w:pgMar w:top="1440" w:right="1800" w:bottom="1440" w:left="1800" w:header="720" w:footer="720" w:gutter="0"/>
          <w:cols w:space="720"/>
          <w:docGrid w:type="lines" w:linePitch="312"/>
        </w:sectPr>
      </w:pPr>
    </w:p>
    <w:p w:rsidR="00A765C5" w:rsidRDefault="00702EF7" w:rsidP="00D715F2">
      <w:pPr>
        <w:pStyle w:val="1"/>
        <w:numPr>
          <w:ilvl w:val="0"/>
          <w:numId w:val="1"/>
        </w:numPr>
        <w:spacing w:afterLines="150" w:after="468" w:line="550" w:lineRule="exact"/>
        <w:rPr>
          <w:rFonts w:ascii="Times New Roman" w:eastAsia="方正小标宋_GBK" w:hAnsi="Times New Roman" w:cs="Times New Roman"/>
          <w:b w:val="0"/>
          <w:sz w:val="36"/>
          <w:szCs w:val="36"/>
        </w:rPr>
      </w:pPr>
      <w:bookmarkStart w:id="2040" w:name="_Toc29673"/>
      <w:bookmarkStart w:id="2041" w:name="_Toc10467"/>
      <w:bookmarkStart w:id="2042" w:name="_Toc14846"/>
      <w:bookmarkStart w:id="2043" w:name="_Toc15322"/>
      <w:bookmarkStart w:id="2044" w:name="_Toc9693"/>
      <w:bookmarkStart w:id="2045" w:name="_Toc31592"/>
      <w:bookmarkStart w:id="2046" w:name="_Toc29781"/>
      <w:bookmarkStart w:id="2047" w:name="_Toc28752"/>
      <w:bookmarkStart w:id="2048" w:name="_Toc9265"/>
      <w:bookmarkStart w:id="2049" w:name="_Toc1548"/>
      <w:bookmarkStart w:id="2050" w:name="_Toc17194"/>
      <w:r>
        <w:rPr>
          <w:rFonts w:ascii="Times New Roman" w:eastAsia="方正小标宋_GBK" w:hAnsi="Times New Roman" w:cs="Times New Roman" w:hint="eastAsia"/>
          <w:b w:val="0"/>
          <w:sz w:val="36"/>
          <w:szCs w:val="36"/>
        </w:rPr>
        <w:lastRenderedPageBreak/>
        <w:t>规划实施保障</w:t>
      </w:r>
      <w:bookmarkEnd w:id="2040"/>
      <w:bookmarkEnd w:id="2041"/>
      <w:bookmarkEnd w:id="2042"/>
      <w:bookmarkEnd w:id="2043"/>
      <w:bookmarkEnd w:id="2044"/>
      <w:bookmarkEnd w:id="2045"/>
      <w:bookmarkEnd w:id="2046"/>
      <w:bookmarkEnd w:id="2047"/>
      <w:bookmarkEnd w:id="2048"/>
      <w:bookmarkEnd w:id="2049"/>
      <w:bookmarkEnd w:id="2050"/>
      <w:r>
        <w:rPr>
          <w:rFonts w:ascii="Times New Roman" w:eastAsia="方正小标宋_GBK" w:hAnsi="Times New Roman" w:cs="Times New Roman"/>
          <w:b w:val="0"/>
          <w:sz w:val="36"/>
          <w:szCs w:val="36"/>
        </w:rPr>
        <w:tab/>
      </w:r>
    </w:p>
    <w:p w:rsidR="00A765C5" w:rsidRDefault="00702EF7" w:rsidP="00D715F2">
      <w:pPr>
        <w:pStyle w:val="2"/>
        <w:numPr>
          <w:ilvl w:val="0"/>
          <w:numId w:val="16"/>
        </w:numPr>
        <w:snapToGrid w:val="0"/>
        <w:spacing w:beforeLines="50" w:before="156" w:afterLines="50" w:after="156" w:line="550" w:lineRule="exact"/>
        <w:jc w:val="center"/>
        <w:rPr>
          <w:rFonts w:ascii="Times New Roman" w:eastAsia="黑体" w:hAnsi="Times New Roman"/>
          <w:b w:val="0"/>
          <w:bCs w:val="0"/>
          <w:sz w:val="32"/>
        </w:rPr>
      </w:pPr>
      <w:bookmarkStart w:id="2051" w:name="_Toc4552"/>
      <w:bookmarkStart w:id="2052" w:name="_Toc7028"/>
      <w:bookmarkStart w:id="2053" w:name="_Toc22030"/>
      <w:bookmarkStart w:id="2054" w:name="_Toc11804"/>
      <w:bookmarkStart w:id="2055" w:name="_Toc7755"/>
      <w:bookmarkStart w:id="2056" w:name="_Toc20930"/>
      <w:bookmarkStart w:id="2057" w:name="_Toc20830"/>
      <w:bookmarkStart w:id="2058" w:name="_Toc22712"/>
      <w:bookmarkStart w:id="2059" w:name="_Toc30187"/>
      <w:bookmarkStart w:id="2060" w:name="_Toc8274"/>
      <w:r>
        <w:rPr>
          <w:rFonts w:ascii="Times New Roman" w:eastAsia="黑体" w:hAnsi="Times New Roman" w:hint="eastAsia"/>
          <w:b w:val="0"/>
          <w:bCs w:val="0"/>
          <w:sz w:val="32"/>
        </w:rPr>
        <w:t>加强党的领导</w:t>
      </w:r>
      <w:bookmarkEnd w:id="2051"/>
      <w:bookmarkEnd w:id="2052"/>
      <w:bookmarkEnd w:id="2053"/>
      <w:bookmarkEnd w:id="2054"/>
      <w:bookmarkEnd w:id="2055"/>
      <w:bookmarkEnd w:id="2056"/>
      <w:bookmarkEnd w:id="2057"/>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061" w:name="_Toc18419"/>
      <w:bookmarkStart w:id="2062" w:name="_Toc26041"/>
      <w:bookmarkStart w:id="2063" w:name="_Toc20624"/>
      <w:bookmarkStart w:id="2064" w:name="_Toc7852"/>
      <w:bookmarkStart w:id="2065" w:name="_Toc14778"/>
      <w:bookmarkStart w:id="2066" w:name="_Toc21543"/>
      <w:bookmarkStart w:id="2067" w:name="_Toc13036"/>
      <w:bookmarkStart w:id="2068" w:name="_Toc459"/>
      <w:r>
        <w:rPr>
          <w:rFonts w:ascii="Times New Roman" w:eastAsia="楷体_GB2312" w:hAnsi="Times New Roman" w:cs="Times New Roman" w:hint="eastAsia"/>
          <w:sz w:val="32"/>
          <w:szCs w:val="32"/>
        </w:rPr>
        <w:t>加强党的领导</w:t>
      </w:r>
      <w:bookmarkEnd w:id="2061"/>
      <w:bookmarkEnd w:id="2062"/>
      <w:bookmarkEnd w:id="2063"/>
      <w:bookmarkEnd w:id="2064"/>
      <w:bookmarkEnd w:id="2065"/>
      <w:bookmarkEnd w:id="2066"/>
      <w:bookmarkEnd w:id="2067"/>
      <w:bookmarkEnd w:id="2068"/>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以党的政治建设为统领，深入学习贯彻习近平新时代中国特色社会主义思想，增强“四个意识”、坚定“四个自信”、做到“两个维护”，完善上下贯通、执行有力的组织体系，全面贯彻新时代党的组织路线，充分发挥地方各级党委（党组）领导核心作用，把党的领导贯彻到国土空间规划编制实施全过程的各领域和各环节。</w:t>
      </w:r>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坚持市委、市政府对丹东市国土空间规划管理工作的全面领导，落实地方各级党委和政府组织编制和实施国土空间规划的主体责任，确保规划主要目标和重点任务顺利完成。坚持“多规合一”，强化规划严肃性，规划一经批准，任何部门和个人不得随意修改、违规变更。加强领导干部的国土空间规划管理培训，将国土空间规划执行情况纳入领导干部自然资源资产离任审计。</w:t>
      </w:r>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各地区、各有关职能部门应根据职责分工，制定本地区的国土空间规划和本部门的国土空间专项规划。规划实施中的重大事项或重大调整，及时按程序向市委、市政府请示报告，特别重大的向省委、省政府请示报告，确保辽宁省重大决策、丹东市重要战略部署落实到位。</w:t>
      </w:r>
    </w:p>
    <w:p w:rsidR="00A765C5" w:rsidRDefault="00A765C5" w:rsidP="00D715F2">
      <w:pPr>
        <w:pStyle w:val="0"/>
        <w:spacing w:line="550" w:lineRule="exact"/>
        <w:ind w:firstLine="640"/>
        <w:rPr>
          <w:rFonts w:eastAsia="仿宋_GB2312"/>
          <w:sz w:val="32"/>
          <w:szCs w:val="32"/>
        </w:rPr>
      </w:pPr>
    </w:p>
    <w:p w:rsidR="00A765C5" w:rsidRDefault="00702EF7" w:rsidP="00D715F2">
      <w:pPr>
        <w:pStyle w:val="2"/>
        <w:numPr>
          <w:ilvl w:val="0"/>
          <w:numId w:val="16"/>
        </w:numPr>
        <w:snapToGrid w:val="0"/>
        <w:spacing w:beforeLines="50" w:before="156" w:afterLines="50" w:after="156" w:line="550" w:lineRule="exact"/>
        <w:jc w:val="center"/>
        <w:rPr>
          <w:rFonts w:ascii="Times New Roman" w:eastAsia="黑体" w:hAnsi="Times New Roman"/>
          <w:b w:val="0"/>
          <w:bCs w:val="0"/>
          <w:sz w:val="32"/>
        </w:rPr>
      </w:pPr>
      <w:bookmarkStart w:id="2069" w:name="_Toc5010"/>
      <w:bookmarkStart w:id="2070" w:name="_Toc17150"/>
      <w:bookmarkStart w:id="2071" w:name="_Toc8345"/>
      <w:bookmarkStart w:id="2072" w:name="_Toc522"/>
      <w:bookmarkStart w:id="2073" w:name="_Toc10454"/>
      <w:bookmarkStart w:id="2074" w:name="_Toc30969"/>
      <w:bookmarkStart w:id="2075" w:name="_Toc22381"/>
      <w:r>
        <w:rPr>
          <w:rFonts w:ascii="Times New Roman" w:eastAsia="黑体" w:hAnsi="Times New Roman" w:hint="eastAsia"/>
          <w:b w:val="0"/>
          <w:bCs w:val="0"/>
          <w:sz w:val="32"/>
        </w:rPr>
        <w:t>完善规划传导</w:t>
      </w:r>
      <w:bookmarkEnd w:id="2058"/>
      <w:bookmarkEnd w:id="2059"/>
      <w:bookmarkEnd w:id="2060"/>
      <w:bookmarkEnd w:id="2069"/>
      <w:bookmarkEnd w:id="2070"/>
      <w:bookmarkEnd w:id="2071"/>
      <w:bookmarkEnd w:id="2072"/>
      <w:bookmarkEnd w:id="2073"/>
      <w:bookmarkEnd w:id="2074"/>
      <w:bookmarkEnd w:id="2075"/>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076" w:name="_Toc16397"/>
      <w:bookmarkStart w:id="2077" w:name="_Toc24019"/>
      <w:bookmarkStart w:id="2078" w:name="_Toc18859"/>
      <w:bookmarkStart w:id="2079" w:name="_Toc28215"/>
      <w:bookmarkStart w:id="2080" w:name="_Toc5685"/>
      <w:bookmarkStart w:id="2081" w:name="_Toc31644"/>
      <w:bookmarkStart w:id="2082" w:name="_Toc14775"/>
      <w:bookmarkStart w:id="2083" w:name="_Toc19720"/>
      <w:bookmarkStart w:id="2084" w:name="_Toc20924"/>
      <w:bookmarkStart w:id="2085" w:name="_Toc12381"/>
      <w:bookmarkStart w:id="2086" w:name="_Toc31305"/>
      <w:r>
        <w:rPr>
          <w:rFonts w:ascii="Times New Roman" w:eastAsia="楷体_GB2312" w:hAnsi="Times New Roman" w:cs="Times New Roman" w:hint="eastAsia"/>
          <w:sz w:val="32"/>
          <w:szCs w:val="32"/>
        </w:rPr>
        <w:lastRenderedPageBreak/>
        <w:t>县区规划</w:t>
      </w:r>
      <w:bookmarkEnd w:id="2076"/>
      <w:bookmarkEnd w:id="2077"/>
      <w:r>
        <w:rPr>
          <w:rFonts w:ascii="Times New Roman" w:eastAsia="楷体_GB2312" w:hAnsi="Times New Roman" w:cs="Times New Roman" w:hint="eastAsia"/>
          <w:sz w:val="32"/>
          <w:szCs w:val="32"/>
        </w:rPr>
        <w:t>传导</w:t>
      </w:r>
      <w:bookmarkEnd w:id="2078"/>
      <w:bookmarkEnd w:id="2079"/>
      <w:bookmarkEnd w:id="2080"/>
      <w:bookmarkEnd w:id="2081"/>
      <w:bookmarkEnd w:id="2082"/>
      <w:bookmarkEnd w:id="2083"/>
      <w:bookmarkEnd w:id="2084"/>
      <w:bookmarkEnd w:id="2085"/>
      <w:bookmarkEnd w:id="2086"/>
    </w:p>
    <w:p w:rsidR="00A765C5" w:rsidRDefault="00702EF7" w:rsidP="00D715F2">
      <w:pPr>
        <w:snapToGrid w:val="0"/>
        <w:spacing w:line="55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东港市：积极落实“沿江沿海开发开放带”区域经济布局，以</w:t>
      </w:r>
      <w:proofErr w:type="gramStart"/>
      <w:r>
        <w:rPr>
          <w:rFonts w:ascii="Times New Roman" w:eastAsia="仿宋_GB2312" w:hAnsi="Times New Roman" w:cs="Times New Roman" w:hint="eastAsia"/>
          <w:sz w:val="32"/>
          <w:szCs w:val="32"/>
        </w:rPr>
        <w:t>港产城一体化</w:t>
      </w:r>
      <w:proofErr w:type="gramEnd"/>
      <w:r>
        <w:rPr>
          <w:rFonts w:ascii="Times New Roman" w:eastAsia="仿宋_GB2312" w:hAnsi="Times New Roman" w:cs="Times New Roman" w:hint="eastAsia"/>
          <w:sz w:val="32"/>
          <w:szCs w:val="32"/>
        </w:rPr>
        <w:t>战略为抓手，大力发展海洋经济，建设成为区域性出海口和临港产业中心之一，形成高水平开放型经济新体制。着重发展优质稻米、小浆果种植、水产及家禽养殖等精品农业；大力发展海洋经济、装备制造、食品加工、纺织服装、医药化工等产业门类；培育发展生态旅游、现代物流等现代服务业。</w:t>
      </w:r>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proofErr w:type="gramStart"/>
      <w:r>
        <w:rPr>
          <w:rFonts w:ascii="Times New Roman" w:eastAsia="仿宋_GB2312" w:hAnsi="Times New Roman" w:cs="Times New Roman" w:hint="eastAsia"/>
          <w:sz w:val="32"/>
          <w:szCs w:val="32"/>
        </w:rPr>
        <w:t>凤</w:t>
      </w:r>
      <w:proofErr w:type="gramEnd"/>
      <w:r>
        <w:rPr>
          <w:rFonts w:ascii="Times New Roman" w:eastAsia="仿宋_GB2312" w:hAnsi="Times New Roman" w:cs="Times New Roman" w:hint="eastAsia"/>
          <w:sz w:val="32"/>
          <w:szCs w:val="32"/>
        </w:rPr>
        <w:t>城市：积极落实“绿色发展经济区”区域布局，以打造融入沈阳都市圈的纽带和丹东市北部经济中心为目标，以高质量绿色发展为导向，建设智慧花园城市，着力打造全国生态文明建设示范区、东北城乡融合发展典范、辽宁新旧动能转换示范区和沿海经济带全面开放新高地。做大做强增压器及汽车零部件、硼资源综合利用、新材料、轻工消费品等产业，优化发展肉食鸡养殖、食用菌、林下药材、蔬菜大棚、红松果材、小浆果、板栗等特色农产品及农产品深加工产业。宽甸满族自治县：以建设东北东部出海经济走廊重要节点和丹东市东部经济中心为目标，重点发展新能源、新材料、农副产品加工、中草药种植加工、野生动植物养殖和生态旅游业，做实做优辽宁生态旅游试验区，有序推进“兴边富民行动中心城镇”建设，着力建设“东北东部绿色发展示范县”和“辽宁兴边富民示范区”。</w:t>
      </w:r>
    </w:p>
    <w:p w:rsidR="00A765C5" w:rsidRDefault="00702EF7" w:rsidP="00D715F2">
      <w:pPr>
        <w:snapToGrid w:val="0"/>
        <w:spacing w:line="55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振兴区：充分利用沿江临海的区位优势和完善的综合交通体系，促进新老城区融合发展。</w:t>
      </w:r>
    </w:p>
    <w:p w:rsidR="00A765C5" w:rsidRDefault="00702EF7" w:rsidP="00D715F2">
      <w:pPr>
        <w:snapToGrid w:val="0"/>
        <w:spacing w:line="55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lastRenderedPageBreak/>
        <w:t>振安区：充分释放产业优势、区位优势，以工业经济为主导，以特色农业为基础，以商贸服务业和生态旅游为新方向，打造轻工产业集聚区、精品农业示范区、温泉康养宜居区、生态旅游目的地。</w:t>
      </w:r>
    </w:p>
    <w:p w:rsidR="00A765C5" w:rsidRDefault="00702EF7" w:rsidP="00D715F2">
      <w:pPr>
        <w:snapToGrid w:val="0"/>
        <w:spacing w:line="55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sz w:val="32"/>
          <w:szCs w:val="32"/>
        </w:rPr>
        <w:t>元宝区：打造东北东部绿色经济带产业联动先导区、展现安东文化中心区、丹东市城镇中央休闲游憩区、丹东市</w:t>
      </w:r>
      <w:proofErr w:type="gramStart"/>
      <w:r>
        <w:rPr>
          <w:rFonts w:ascii="Times New Roman" w:eastAsia="仿宋_GB2312" w:hAnsi="Times New Roman" w:cs="Times New Roman" w:hint="eastAsia"/>
          <w:sz w:val="32"/>
          <w:szCs w:val="32"/>
        </w:rPr>
        <w:t>医</w:t>
      </w:r>
      <w:proofErr w:type="gramEnd"/>
      <w:r>
        <w:rPr>
          <w:rFonts w:ascii="Times New Roman" w:eastAsia="仿宋_GB2312" w:hAnsi="Times New Roman" w:cs="Times New Roman" w:hint="eastAsia"/>
          <w:sz w:val="32"/>
          <w:szCs w:val="32"/>
        </w:rPr>
        <w:t>养结合特色区、丹东市城乡融合发展示范区。</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087" w:name="_Toc8817"/>
      <w:bookmarkStart w:id="2088" w:name="_Toc26577"/>
      <w:bookmarkStart w:id="2089" w:name="_Toc14113"/>
      <w:bookmarkStart w:id="2090" w:name="_Toc8486"/>
      <w:bookmarkStart w:id="2091" w:name="_Toc16734"/>
      <w:bookmarkStart w:id="2092" w:name="_Toc21113"/>
      <w:bookmarkStart w:id="2093" w:name="_Toc20429"/>
      <w:bookmarkStart w:id="2094" w:name="_Toc19693"/>
      <w:bookmarkStart w:id="2095" w:name="_Toc13212"/>
      <w:bookmarkStart w:id="2096" w:name="_Toc9481"/>
      <w:bookmarkStart w:id="2097" w:name="_Toc8636"/>
      <w:r>
        <w:rPr>
          <w:rFonts w:ascii="Times New Roman" w:eastAsia="楷体_GB2312" w:hAnsi="Times New Roman" w:cs="Times New Roman" w:hint="eastAsia"/>
          <w:sz w:val="32"/>
          <w:szCs w:val="32"/>
        </w:rPr>
        <w:t>专项规划</w:t>
      </w:r>
      <w:bookmarkEnd w:id="2087"/>
      <w:bookmarkEnd w:id="2088"/>
      <w:r>
        <w:rPr>
          <w:rFonts w:ascii="Times New Roman" w:eastAsia="楷体_GB2312" w:hAnsi="Times New Roman" w:cs="Times New Roman" w:hint="eastAsia"/>
          <w:sz w:val="32"/>
          <w:szCs w:val="32"/>
        </w:rPr>
        <w:t>传导</w:t>
      </w:r>
      <w:bookmarkEnd w:id="2089"/>
      <w:bookmarkEnd w:id="2090"/>
      <w:bookmarkEnd w:id="2091"/>
      <w:bookmarkEnd w:id="2092"/>
      <w:bookmarkEnd w:id="2093"/>
      <w:bookmarkEnd w:id="2094"/>
      <w:bookmarkEnd w:id="2095"/>
      <w:bookmarkEnd w:id="2096"/>
      <w:bookmarkEnd w:id="2097"/>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针对特定区域和特定领域，为体现特定功能，有必要对国土空间保护、开发、利用、修复等</w:t>
      </w:r>
      <w:proofErr w:type="gramStart"/>
      <w:r>
        <w:rPr>
          <w:rFonts w:ascii="Times New Roman" w:eastAsia="仿宋_GB2312" w:hAnsi="Times New Roman" w:cs="Times New Roman" w:hint="eastAsia"/>
          <w:sz w:val="32"/>
          <w:szCs w:val="32"/>
        </w:rPr>
        <w:t>作出</w:t>
      </w:r>
      <w:proofErr w:type="gramEnd"/>
      <w:r>
        <w:rPr>
          <w:rFonts w:ascii="Times New Roman" w:eastAsia="仿宋_GB2312" w:hAnsi="Times New Roman" w:cs="Times New Roman" w:hint="eastAsia"/>
          <w:sz w:val="32"/>
          <w:szCs w:val="32"/>
        </w:rPr>
        <w:t>专项安排的，自然资源部门要会同发展改革部门制定相关专项规划编制目录清单，经同级人民政府批准后，在市、县层面编制相关专项规划，报同级人民政府审批后实施。</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098" w:name="_Toc15040"/>
      <w:bookmarkStart w:id="2099" w:name="_Toc30234"/>
      <w:bookmarkStart w:id="2100" w:name="_Toc18166"/>
      <w:bookmarkStart w:id="2101" w:name="_Toc3477"/>
      <w:bookmarkStart w:id="2102" w:name="_Toc12186"/>
      <w:bookmarkStart w:id="2103" w:name="_Toc14894"/>
      <w:bookmarkStart w:id="2104" w:name="_Toc23781"/>
      <w:bookmarkStart w:id="2105" w:name="_Toc4807"/>
      <w:bookmarkStart w:id="2106" w:name="_Toc10606"/>
      <w:r>
        <w:rPr>
          <w:rFonts w:ascii="Times New Roman" w:eastAsia="楷体_GB2312" w:hAnsi="Times New Roman" w:cs="Times New Roman" w:hint="eastAsia"/>
          <w:sz w:val="32"/>
          <w:szCs w:val="32"/>
        </w:rPr>
        <w:t>详规单元划定</w:t>
      </w:r>
      <w:bookmarkEnd w:id="2098"/>
      <w:bookmarkEnd w:id="2099"/>
      <w:bookmarkEnd w:id="2100"/>
      <w:bookmarkEnd w:id="2101"/>
      <w:bookmarkEnd w:id="2102"/>
      <w:bookmarkEnd w:id="2103"/>
      <w:bookmarkEnd w:id="2104"/>
      <w:bookmarkEnd w:id="2105"/>
      <w:bookmarkEnd w:id="2106"/>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统筹生产、生活、生态和安全功能需求，按照统一分类、统一编码要求划定全域覆盖、边界闭合、上下贯穿的详细规划编制单元。市域详规单元分为城镇单元、乡村单元和特殊单元三大类型。</w:t>
      </w:r>
    </w:p>
    <w:p w:rsidR="00A765C5" w:rsidRDefault="00702EF7" w:rsidP="00D715F2">
      <w:pPr>
        <w:pStyle w:val="2"/>
        <w:numPr>
          <w:ilvl w:val="0"/>
          <w:numId w:val="16"/>
        </w:numPr>
        <w:snapToGrid w:val="0"/>
        <w:spacing w:beforeLines="50" w:before="156" w:afterLines="50" w:after="156" w:line="550" w:lineRule="exact"/>
        <w:jc w:val="center"/>
        <w:rPr>
          <w:rFonts w:ascii="Times New Roman" w:eastAsia="黑体" w:hAnsi="Times New Roman"/>
          <w:b w:val="0"/>
          <w:bCs w:val="0"/>
          <w:sz w:val="32"/>
        </w:rPr>
      </w:pPr>
      <w:bookmarkStart w:id="2107" w:name="_Toc2023"/>
      <w:bookmarkStart w:id="2108" w:name="_Toc27830"/>
      <w:bookmarkStart w:id="2109" w:name="_Toc31631"/>
      <w:bookmarkStart w:id="2110" w:name="_Toc13007"/>
      <w:bookmarkStart w:id="2111" w:name="_Toc19832"/>
      <w:bookmarkStart w:id="2112" w:name="_Toc19776"/>
      <w:bookmarkStart w:id="2113" w:name="_Toc15325"/>
      <w:bookmarkStart w:id="2114" w:name="_Toc7484"/>
      <w:bookmarkStart w:id="2115" w:name="_Toc413"/>
      <w:bookmarkStart w:id="2116" w:name="_Toc14428"/>
      <w:r>
        <w:rPr>
          <w:rFonts w:ascii="Times New Roman" w:eastAsia="黑体" w:hAnsi="Times New Roman" w:hint="eastAsia"/>
          <w:b w:val="0"/>
          <w:bCs w:val="0"/>
          <w:sz w:val="32"/>
        </w:rPr>
        <w:t>创新政策保障机制</w:t>
      </w:r>
      <w:bookmarkEnd w:id="2107"/>
      <w:bookmarkEnd w:id="2108"/>
      <w:bookmarkEnd w:id="2109"/>
      <w:bookmarkEnd w:id="2110"/>
      <w:bookmarkEnd w:id="2111"/>
      <w:bookmarkEnd w:id="2112"/>
      <w:bookmarkEnd w:id="2113"/>
      <w:bookmarkEnd w:id="2114"/>
      <w:bookmarkEnd w:id="2115"/>
      <w:bookmarkEnd w:id="2116"/>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17" w:name="_Toc17660"/>
      <w:bookmarkStart w:id="2118" w:name="_Toc25656"/>
      <w:bookmarkStart w:id="2119" w:name="_Toc329"/>
      <w:bookmarkStart w:id="2120" w:name="_Toc8597"/>
      <w:bookmarkStart w:id="2121" w:name="_Toc4199"/>
      <w:bookmarkStart w:id="2122" w:name="_Toc12424"/>
      <w:bookmarkStart w:id="2123" w:name="_Toc30102"/>
      <w:bookmarkStart w:id="2124" w:name="_Toc7848"/>
      <w:r>
        <w:rPr>
          <w:rFonts w:ascii="Times New Roman" w:eastAsia="楷体_GB2312" w:hAnsi="Times New Roman" w:cs="Times New Roman" w:hint="eastAsia"/>
          <w:sz w:val="32"/>
          <w:szCs w:val="32"/>
        </w:rPr>
        <w:t>强化组织领导</w:t>
      </w:r>
      <w:bookmarkEnd w:id="2117"/>
      <w:bookmarkEnd w:id="2118"/>
      <w:bookmarkEnd w:id="2119"/>
      <w:bookmarkEnd w:id="2120"/>
      <w:bookmarkEnd w:id="2121"/>
      <w:bookmarkEnd w:id="2122"/>
      <w:bookmarkEnd w:id="2123"/>
      <w:bookmarkEnd w:id="2124"/>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坚持底线思维，立足资源禀赋和环境承载能力，加快构建生态功能保障基线、环境质量安全底线、自然资源利用上线。严格执行规划，做到一张蓝图干到底。强化多部门合作，</w:t>
      </w:r>
      <w:r>
        <w:rPr>
          <w:rFonts w:ascii="Times New Roman" w:eastAsia="仿宋_GB2312" w:hAnsi="Times New Roman" w:cs="Times New Roman" w:hint="eastAsia"/>
          <w:sz w:val="32"/>
          <w:szCs w:val="32"/>
        </w:rPr>
        <w:lastRenderedPageBreak/>
        <w:t>明确责任分工，加强队伍建设，形成合力。</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25" w:name="_Toc17988"/>
      <w:bookmarkStart w:id="2126" w:name="_Toc17686"/>
      <w:bookmarkStart w:id="2127" w:name="_Toc24508"/>
      <w:bookmarkStart w:id="2128" w:name="_Toc5371"/>
      <w:bookmarkStart w:id="2129" w:name="_Toc13180"/>
      <w:bookmarkStart w:id="2130" w:name="_Toc31973"/>
      <w:bookmarkStart w:id="2131" w:name="_Toc29137"/>
      <w:bookmarkStart w:id="2132" w:name="_Toc9399"/>
      <w:r>
        <w:rPr>
          <w:rFonts w:ascii="Times New Roman" w:eastAsia="楷体_GB2312" w:hAnsi="Times New Roman" w:cs="Times New Roman" w:hint="eastAsia"/>
          <w:sz w:val="32"/>
          <w:szCs w:val="32"/>
        </w:rPr>
        <w:t>健全公共参与机制</w:t>
      </w:r>
      <w:bookmarkEnd w:id="2125"/>
      <w:bookmarkEnd w:id="2126"/>
      <w:bookmarkEnd w:id="2127"/>
      <w:bookmarkEnd w:id="2128"/>
      <w:bookmarkEnd w:id="2129"/>
      <w:bookmarkEnd w:id="2130"/>
      <w:bookmarkEnd w:id="2131"/>
      <w:bookmarkEnd w:id="2132"/>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建立和完善规划编制的专家咨询制度和部门协调机制，加强规划协调、咨询和论证工作，提高规划决策的科学化和民主化水平。建立健全规划编制和实施的公众参与制度，完善规划管理听证和公示制度，切实增强规划的公开性和透明度。规划获批后，在符合国家保密管理和地图管理等有关规定基础上及时公开，接受社会公众监督。</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33" w:name="_Toc18670"/>
      <w:bookmarkStart w:id="2134" w:name="_Toc28262"/>
      <w:bookmarkStart w:id="2135" w:name="_Toc24737"/>
      <w:bookmarkStart w:id="2136" w:name="_Toc31415"/>
      <w:bookmarkStart w:id="2137" w:name="_Toc2561"/>
      <w:bookmarkStart w:id="2138" w:name="_Toc24840"/>
      <w:bookmarkStart w:id="2139" w:name="_Toc4136"/>
      <w:bookmarkStart w:id="2140" w:name="_Toc21580"/>
      <w:r>
        <w:rPr>
          <w:rFonts w:ascii="Times New Roman" w:eastAsia="楷体_GB2312" w:hAnsi="Times New Roman" w:cs="Times New Roman" w:hint="eastAsia"/>
          <w:sz w:val="32"/>
          <w:szCs w:val="32"/>
        </w:rPr>
        <w:t>健全土地利用空间管控和治理相关政策</w:t>
      </w:r>
      <w:bookmarkEnd w:id="2133"/>
      <w:bookmarkEnd w:id="2134"/>
      <w:bookmarkEnd w:id="2135"/>
      <w:bookmarkEnd w:id="2136"/>
      <w:bookmarkEnd w:id="2137"/>
      <w:bookmarkEnd w:id="2138"/>
      <w:bookmarkEnd w:id="2139"/>
      <w:bookmarkEnd w:id="2140"/>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健全自然资源有偿使用和生态补偿制度，完善增减挂钩、增存挂钩、人地挂钩等政策工具。围绕“总量锁定、增量递减、存量优化、质量提高”的总目标，深化完善城市更新、土地要素配置、城市用地混合开发利用、农村土地制度改革、水资源保护利用、林地资源保护利用等政策。改革建设开发模式，建立城乡统一的建设用地市场，创新集体建设用地节约集约和转型升级利用机制。</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41" w:name="_Toc16631"/>
      <w:bookmarkStart w:id="2142" w:name="_Toc10681"/>
      <w:bookmarkStart w:id="2143" w:name="_Toc23236"/>
      <w:bookmarkStart w:id="2144" w:name="_Toc28179"/>
      <w:bookmarkStart w:id="2145" w:name="_Toc23826"/>
      <w:bookmarkStart w:id="2146" w:name="_Toc30768"/>
      <w:bookmarkStart w:id="2147" w:name="_Toc28121"/>
      <w:bookmarkStart w:id="2148" w:name="_Toc17560"/>
      <w:r>
        <w:rPr>
          <w:rFonts w:ascii="Times New Roman" w:eastAsia="楷体_GB2312" w:hAnsi="Times New Roman" w:cs="Times New Roman" w:hint="eastAsia"/>
          <w:sz w:val="32"/>
          <w:szCs w:val="32"/>
        </w:rPr>
        <w:t>建立规划传导管控机制</w:t>
      </w:r>
      <w:bookmarkEnd w:id="2141"/>
      <w:bookmarkEnd w:id="2142"/>
      <w:bookmarkEnd w:id="2143"/>
      <w:bookmarkEnd w:id="2144"/>
      <w:bookmarkEnd w:id="2145"/>
      <w:bookmarkEnd w:id="2146"/>
      <w:bookmarkEnd w:id="2147"/>
      <w:bookmarkEnd w:id="2148"/>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建立纵向实施传导机制，落实国家、省级重大战略和辽宁省国土空间规划、相关专项规划确定的约束性指标和刚性管控要求，并将指标进一步分解落实到各县（市、区）。建立横向实施传导机制，发挥国土空间总体规划对各类专项规划的指导约束作用。</w:t>
      </w:r>
    </w:p>
    <w:p w:rsidR="00A765C5" w:rsidRDefault="00702EF7" w:rsidP="00D715F2">
      <w:pPr>
        <w:pStyle w:val="2"/>
        <w:numPr>
          <w:ilvl w:val="0"/>
          <w:numId w:val="16"/>
        </w:numPr>
        <w:snapToGrid w:val="0"/>
        <w:spacing w:beforeLines="50" w:before="156" w:afterLines="50" w:after="156" w:line="550" w:lineRule="exact"/>
        <w:jc w:val="center"/>
        <w:rPr>
          <w:rFonts w:ascii="Times New Roman" w:eastAsia="黑体" w:hAnsi="Times New Roman"/>
          <w:b w:val="0"/>
          <w:bCs w:val="0"/>
          <w:sz w:val="32"/>
        </w:rPr>
      </w:pPr>
      <w:bookmarkStart w:id="2149" w:name="_Toc11728"/>
      <w:bookmarkStart w:id="2150" w:name="_Toc26954"/>
      <w:bookmarkStart w:id="2151" w:name="_Toc18176"/>
      <w:bookmarkStart w:id="2152" w:name="_Toc13774"/>
      <w:bookmarkStart w:id="2153" w:name="_Toc27338"/>
      <w:bookmarkStart w:id="2154" w:name="_Toc11056"/>
      <w:bookmarkStart w:id="2155" w:name="_Toc21667"/>
      <w:bookmarkStart w:id="2156" w:name="_Toc25434"/>
      <w:bookmarkStart w:id="2157" w:name="_Toc7180"/>
      <w:bookmarkStart w:id="2158" w:name="_Toc11600"/>
      <w:r>
        <w:rPr>
          <w:rFonts w:ascii="Times New Roman" w:eastAsia="黑体" w:hAnsi="Times New Roman" w:hint="eastAsia"/>
          <w:b w:val="0"/>
          <w:bCs w:val="0"/>
          <w:sz w:val="32"/>
        </w:rPr>
        <w:t>加强规划管理</w:t>
      </w:r>
      <w:bookmarkEnd w:id="2149"/>
      <w:bookmarkEnd w:id="2150"/>
      <w:bookmarkEnd w:id="2151"/>
      <w:bookmarkEnd w:id="2152"/>
      <w:bookmarkEnd w:id="2153"/>
      <w:bookmarkEnd w:id="2154"/>
      <w:bookmarkEnd w:id="2155"/>
      <w:bookmarkEnd w:id="2156"/>
      <w:bookmarkEnd w:id="2157"/>
      <w:bookmarkEnd w:id="2158"/>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59" w:name="_Toc26784"/>
      <w:bookmarkStart w:id="2160" w:name="_Toc12685"/>
      <w:bookmarkStart w:id="2161" w:name="_Toc18748"/>
      <w:bookmarkStart w:id="2162" w:name="_Toc5916"/>
      <w:bookmarkStart w:id="2163" w:name="_Toc32733"/>
      <w:bookmarkStart w:id="2164" w:name="_Toc23011"/>
      <w:bookmarkStart w:id="2165" w:name="_Toc14004"/>
      <w:bookmarkStart w:id="2166" w:name="_Toc637"/>
      <w:r>
        <w:rPr>
          <w:rFonts w:ascii="Times New Roman" w:eastAsia="楷体_GB2312" w:hAnsi="Times New Roman" w:cs="Times New Roman" w:hint="eastAsia"/>
          <w:sz w:val="32"/>
          <w:szCs w:val="32"/>
        </w:rPr>
        <w:lastRenderedPageBreak/>
        <w:t>加强规划实施督导考核</w:t>
      </w:r>
      <w:bookmarkEnd w:id="2159"/>
      <w:bookmarkEnd w:id="2160"/>
      <w:bookmarkEnd w:id="2161"/>
      <w:bookmarkEnd w:id="2162"/>
      <w:bookmarkEnd w:id="2163"/>
      <w:bookmarkEnd w:id="2164"/>
      <w:bookmarkEnd w:id="2165"/>
      <w:bookmarkEnd w:id="2166"/>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强化规划实施监督，将规划考核评估纳入综合评价和绩效考核体系，建立公开、透明、制度化的动态维护机制。</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67" w:name="_Toc10543"/>
      <w:bookmarkStart w:id="2168" w:name="_Toc18448"/>
      <w:bookmarkStart w:id="2169" w:name="_Toc14351"/>
      <w:bookmarkStart w:id="2170" w:name="_Toc6979"/>
      <w:bookmarkStart w:id="2171" w:name="_Toc4965"/>
      <w:bookmarkStart w:id="2172" w:name="_Toc5769"/>
      <w:bookmarkStart w:id="2173" w:name="_Toc13111"/>
      <w:bookmarkStart w:id="2174" w:name="_Toc7579"/>
      <w:r>
        <w:rPr>
          <w:rFonts w:ascii="Times New Roman" w:eastAsia="楷体_GB2312" w:hAnsi="Times New Roman" w:cs="Times New Roman" w:hint="eastAsia"/>
          <w:sz w:val="32"/>
          <w:szCs w:val="32"/>
        </w:rPr>
        <w:t>健全监督问责机制</w:t>
      </w:r>
      <w:bookmarkEnd w:id="2167"/>
      <w:bookmarkEnd w:id="2168"/>
      <w:bookmarkEnd w:id="2169"/>
      <w:bookmarkEnd w:id="2170"/>
      <w:bookmarkEnd w:id="2171"/>
      <w:bookmarkEnd w:id="2172"/>
      <w:bookmarkEnd w:id="2173"/>
      <w:bookmarkEnd w:id="2174"/>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对违反规划和落实规划不力、造成严重损失或重大影响的，一经发现，坚决严肃查处，依法依规追究责任。国土空间规划经法定程序批准后，及时向社会公布，接受社会监督。</w:t>
      </w:r>
    </w:p>
    <w:p w:rsidR="00A765C5" w:rsidRDefault="00702EF7" w:rsidP="00D715F2">
      <w:pPr>
        <w:pStyle w:val="2"/>
        <w:numPr>
          <w:ilvl w:val="0"/>
          <w:numId w:val="16"/>
        </w:numPr>
        <w:snapToGrid w:val="0"/>
        <w:spacing w:beforeLines="50" w:before="156" w:afterLines="50" w:after="156" w:line="550" w:lineRule="exact"/>
        <w:jc w:val="center"/>
        <w:rPr>
          <w:rFonts w:ascii="Times New Roman" w:eastAsia="黑体" w:hAnsi="Times New Roman"/>
          <w:b w:val="0"/>
          <w:bCs w:val="0"/>
          <w:sz w:val="32"/>
        </w:rPr>
      </w:pPr>
      <w:bookmarkStart w:id="2175" w:name="_Toc31019"/>
      <w:bookmarkStart w:id="2176" w:name="_Toc6818"/>
      <w:bookmarkStart w:id="2177" w:name="_Toc13053"/>
      <w:bookmarkStart w:id="2178" w:name="_Toc14696"/>
      <w:bookmarkStart w:id="2179" w:name="_Toc14872"/>
      <w:bookmarkStart w:id="2180" w:name="_Toc19007"/>
      <w:bookmarkStart w:id="2181" w:name="_Toc4624"/>
      <w:bookmarkStart w:id="2182" w:name="_Toc8234"/>
      <w:bookmarkStart w:id="2183" w:name="_Toc32075"/>
      <w:bookmarkStart w:id="2184" w:name="_Toc31904"/>
      <w:r>
        <w:rPr>
          <w:rFonts w:ascii="Times New Roman" w:eastAsia="黑体" w:hAnsi="Times New Roman" w:hint="eastAsia"/>
          <w:b w:val="0"/>
          <w:bCs w:val="0"/>
          <w:sz w:val="32"/>
        </w:rPr>
        <w:t>搭建信息</w:t>
      </w:r>
      <w:bookmarkEnd w:id="2175"/>
      <w:bookmarkEnd w:id="2176"/>
      <w:bookmarkEnd w:id="2177"/>
      <w:r>
        <w:rPr>
          <w:rFonts w:ascii="Times New Roman" w:eastAsia="黑体" w:hAnsi="Times New Roman" w:hint="eastAsia"/>
          <w:b w:val="0"/>
          <w:bCs w:val="0"/>
          <w:sz w:val="32"/>
        </w:rPr>
        <w:t>平台</w:t>
      </w:r>
      <w:bookmarkEnd w:id="2178"/>
      <w:bookmarkEnd w:id="2179"/>
      <w:bookmarkEnd w:id="2180"/>
      <w:bookmarkEnd w:id="2181"/>
      <w:bookmarkEnd w:id="2182"/>
      <w:bookmarkEnd w:id="2183"/>
      <w:bookmarkEnd w:id="2184"/>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85" w:name="_Toc23285"/>
      <w:bookmarkStart w:id="2186" w:name="_Toc27323"/>
      <w:bookmarkStart w:id="2187" w:name="_Toc7348"/>
      <w:bookmarkStart w:id="2188" w:name="_Toc29202"/>
      <w:bookmarkStart w:id="2189" w:name="_Toc30951"/>
      <w:bookmarkStart w:id="2190" w:name="_Toc11612"/>
      <w:bookmarkStart w:id="2191" w:name="_Toc27980"/>
      <w:bookmarkStart w:id="2192" w:name="_Toc3738"/>
      <w:r>
        <w:rPr>
          <w:rFonts w:ascii="Times New Roman" w:eastAsia="楷体_GB2312" w:hAnsi="Times New Roman" w:cs="Times New Roman" w:hint="eastAsia"/>
          <w:sz w:val="32"/>
          <w:szCs w:val="32"/>
        </w:rPr>
        <w:t>搭建信息平台</w:t>
      </w:r>
      <w:bookmarkEnd w:id="2185"/>
      <w:bookmarkEnd w:id="2186"/>
      <w:bookmarkEnd w:id="2187"/>
      <w:bookmarkEnd w:id="2188"/>
      <w:bookmarkEnd w:id="2189"/>
      <w:bookmarkEnd w:id="2190"/>
      <w:bookmarkEnd w:id="2191"/>
      <w:bookmarkEnd w:id="2192"/>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依托国土空间基础信息平台，以区县级国土空间总体规划数据为基础，整合搭建市级国土空间总体规划数据库，并符合国家、省、市级数据库建设标准和数据汇交要求，作为详细规划和相关专项规划编制和审批的基础和依据。依托国土空间基础信息平台，构建丹东市国土空间规划“一张图”实施监督信息系统，将规划数据库成果纳入系统，实现各</w:t>
      </w:r>
      <w:proofErr w:type="gramStart"/>
      <w:r>
        <w:rPr>
          <w:rFonts w:ascii="Times New Roman" w:eastAsia="仿宋_GB2312" w:hAnsi="Times New Roman" w:cs="Times New Roman" w:hint="eastAsia"/>
          <w:sz w:val="32"/>
          <w:szCs w:val="32"/>
        </w:rPr>
        <w:t>类空间管控</w:t>
      </w:r>
      <w:proofErr w:type="gramEnd"/>
      <w:r>
        <w:rPr>
          <w:rFonts w:ascii="Times New Roman" w:eastAsia="仿宋_GB2312" w:hAnsi="Times New Roman" w:cs="Times New Roman" w:hint="eastAsia"/>
          <w:sz w:val="32"/>
          <w:szCs w:val="32"/>
        </w:rPr>
        <w:t>边界精准落地、上图入库，提升工作信息化水平。</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193" w:name="_Toc30250"/>
      <w:bookmarkStart w:id="2194" w:name="_Toc27640"/>
      <w:bookmarkStart w:id="2195" w:name="_Toc21877"/>
      <w:bookmarkStart w:id="2196" w:name="_Toc17869"/>
      <w:bookmarkStart w:id="2197" w:name="_Toc16320"/>
      <w:bookmarkStart w:id="2198" w:name="_Toc6388"/>
      <w:bookmarkStart w:id="2199" w:name="_Toc24774"/>
      <w:bookmarkStart w:id="2200" w:name="_Toc23041"/>
      <w:r>
        <w:rPr>
          <w:rFonts w:ascii="Times New Roman" w:eastAsia="楷体_GB2312" w:hAnsi="Times New Roman" w:cs="Times New Roman" w:hint="eastAsia"/>
          <w:sz w:val="32"/>
          <w:szCs w:val="32"/>
        </w:rPr>
        <w:t>强化规划实施监督</w:t>
      </w:r>
      <w:bookmarkEnd w:id="2193"/>
      <w:bookmarkEnd w:id="2194"/>
      <w:bookmarkEnd w:id="2195"/>
      <w:bookmarkEnd w:id="2196"/>
      <w:bookmarkEnd w:id="2197"/>
      <w:bookmarkEnd w:id="2198"/>
      <w:bookmarkEnd w:id="2199"/>
      <w:bookmarkEnd w:id="2200"/>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构建“预警监测、实施评估、督察问责”的规划实施监督体系，强化规划冲突检测、动态监测、定期评估功能和数据共享等基础服务，建立规划动态评估调整机制。按照“一年</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体检、五年</w:t>
      </w:r>
      <w:proofErr w:type="gramStart"/>
      <w:r>
        <w:rPr>
          <w:rFonts w:ascii="Times New Roman" w:eastAsia="仿宋_GB2312" w:hAnsi="Times New Roman" w:cs="Times New Roman" w:hint="eastAsia"/>
          <w:sz w:val="32"/>
          <w:szCs w:val="32"/>
        </w:rPr>
        <w:t>一</w:t>
      </w:r>
      <w:proofErr w:type="gramEnd"/>
      <w:r>
        <w:rPr>
          <w:rFonts w:ascii="Times New Roman" w:eastAsia="仿宋_GB2312" w:hAnsi="Times New Roman" w:cs="Times New Roman" w:hint="eastAsia"/>
          <w:sz w:val="32"/>
          <w:szCs w:val="32"/>
        </w:rPr>
        <w:t>评估”的方式，</w:t>
      </w:r>
      <w:proofErr w:type="gramStart"/>
      <w:r>
        <w:rPr>
          <w:rFonts w:ascii="Times New Roman" w:eastAsia="仿宋_GB2312" w:hAnsi="Times New Roman" w:cs="Times New Roman" w:hint="eastAsia"/>
          <w:sz w:val="32"/>
          <w:szCs w:val="32"/>
        </w:rPr>
        <w:t>动态化开展</w:t>
      </w:r>
      <w:proofErr w:type="gramEnd"/>
      <w:r>
        <w:rPr>
          <w:rFonts w:ascii="Times New Roman" w:eastAsia="仿宋_GB2312" w:hAnsi="Times New Roman" w:cs="Times New Roman" w:hint="eastAsia"/>
          <w:sz w:val="32"/>
          <w:szCs w:val="32"/>
        </w:rPr>
        <w:t>国土空间规划城市体检评估工作，提供国土空间规划实施有效性。</w:t>
      </w:r>
    </w:p>
    <w:p w:rsidR="00A765C5" w:rsidRDefault="00702EF7" w:rsidP="00D715F2">
      <w:pPr>
        <w:pStyle w:val="2"/>
        <w:numPr>
          <w:ilvl w:val="0"/>
          <w:numId w:val="16"/>
        </w:numPr>
        <w:snapToGrid w:val="0"/>
        <w:spacing w:beforeLines="50" w:before="156" w:afterLines="50" w:after="156" w:line="550" w:lineRule="exact"/>
        <w:jc w:val="center"/>
        <w:rPr>
          <w:rFonts w:ascii="Times New Roman" w:eastAsia="黑体" w:hAnsi="Times New Roman"/>
          <w:b w:val="0"/>
          <w:bCs w:val="0"/>
          <w:sz w:val="32"/>
        </w:rPr>
      </w:pPr>
      <w:bookmarkStart w:id="2201" w:name="_Toc26236"/>
      <w:bookmarkStart w:id="2202" w:name="_Toc15609"/>
      <w:bookmarkStart w:id="2203" w:name="_Toc26696"/>
      <w:bookmarkStart w:id="2204" w:name="_Toc587"/>
      <w:bookmarkStart w:id="2205" w:name="_Toc20729"/>
      <w:bookmarkStart w:id="2206" w:name="_Toc31561"/>
      <w:bookmarkStart w:id="2207" w:name="_Toc9706"/>
      <w:bookmarkStart w:id="2208" w:name="_Toc4366"/>
      <w:bookmarkStart w:id="2209" w:name="_Toc9253"/>
      <w:bookmarkStart w:id="2210" w:name="_Toc5753"/>
      <w:r>
        <w:rPr>
          <w:rFonts w:ascii="Times New Roman" w:eastAsia="黑体" w:hAnsi="Times New Roman" w:hint="eastAsia"/>
          <w:b w:val="0"/>
          <w:bCs w:val="0"/>
          <w:sz w:val="32"/>
        </w:rPr>
        <w:lastRenderedPageBreak/>
        <w:t>落实近期</w:t>
      </w:r>
      <w:bookmarkEnd w:id="2201"/>
      <w:bookmarkEnd w:id="2202"/>
      <w:bookmarkEnd w:id="2203"/>
      <w:r>
        <w:rPr>
          <w:rFonts w:ascii="Times New Roman" w:eastAsia="黑体" w:hAnsi="Times New Roman" w:hint="eastAsia"/>
          <w:b w:val="0"/>
          <w:bCs w:val="0"/>
          <w:sz w:val="32"/>
        </w:rPr>
        <w:t>行动计划</w:t>
      </w:r>
      <w:bookmarkEnd w:id="2204"/>
      <w:bookmarkEnd w:id="2205"/>
      <w:bookmarkEnd w:id="2206"/>
      <w:bookmarkEnd w:id="2207"/>
      <w:bookmarkEnd w:id="2208"/>
      <w:bookmarkEnd w:id="2209"/>
      <w:bookmarkEnd w:id="2210"/>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211" w:name="_Toc26816"/>
      <w:bookmarkStart w:id="2212" w:name="_Toc498"/>
      <w:bookmarkStart w:id="2213" w:name="_Toc17965"/>
      <w:bookmarkStart w:id="2214" w:name="_Toc28478"/>
      <w:bookmarkStart w:id="2215" w:name="_Toc10972"/>
      <w:bookmarkStart w:id="2216" w:name="_Toc15498"/>
      <w:bookmarkStart w:id="2217" w:name="_Toc5903"/>
      <w:bookmarkStart w:id="2218" w:name="_Toc5960"/>
      <w:bookmarkStart w:id="2219" w:name="_Toc8859"/>
      <w:bookmarkStart w:id="2220" w:name="_Toc21901"/>
      <w:bookmarkStart w:id="2221" w:name="_Toc5111"/>
      <w:r>
        <w:rPr>
          <w:rFonts w:ascii="Times New Roman" w:eastAsia="楷体_GB2312" w:hAnsi="Times New Roman" w:cs="Times New Roman" w:hint="eastAsia"/>
          <w:sz w:val="32"/>
          <w:szCs w:val="32"/>
        </w:rPr>
        <w:t>明确近期重点行动计划</w:t>
      </w:r>
      <w:bookmarkEnd w:id="2211"/>
      <w:bookmarkEnd w:id="2212"/>
      <w:bookmarkEnd w:id="2213"/>
      <w:bookmarkEnd w:id="2214"/>
      <w:bookmarkEnd w:id="2215"/>
      <w:bookmarkEnd w:id="2216"/>
      <w:bookmarkEnd w:id="2217"/>
      <w:bookmarkEnd w:id="2218"/>
    </w:p>
    <w:p w:rsidR="00A765C5" w:rsidRDefault="00702EF7" w:rsidP="00D715F2">
      <w:pPr>
        <w:snapToGrid w:val="0"/>
        <w:spacing w:line="55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衔接《丹东市国民经济和社会发展第十四个五年规划和二</w:t>
      </w:r>
      <w:r>
        <w:rPr>
          <w:rFonts w:ascii="微软雅黑" w:eastAsia="微软雅黑" w:hAnsi="微软雅黑" w:cs="微软雅黑" w:hint="eastAsia"/>
          <w:sz w:val="32"/>
          <w:szCs w:val="32"/>
        </w:rPr>
        <w:t>〇</w:t>
      </w:r>
      <w:r>
        <w:rPr>
          <w:rFonts w:ascii="仿宋_GB2312" w:eastAsia="仿宋_GB2312" w:hAnsi="仿宋_GB2312" w:cs="仿宋_GB2312" w:hint="eastAsia"/>
          <w:sz w:val="32"/>
          <w:szCs w:val="32"/>
        </w:rPr>
        <w:t>三五年远景目标纲要》，围绕丹东全面振兴新突破三年行动，做好重大项目统筹安排和用地保障。建立近期重大项目库，将交通、能源、水利等各类项目纳入项目库，落实</w:t>
      </w:r>
      <w:r>
        <w:rPr>
          <w:rFonts w:ascii="Times New Roman" w:eastAsia="仿宋_GB2312" w:hAnsi="Times New Roman" w:cs="Times New Roman" w:hint="eastAsia"/>
          <w:sz w:val="32"/>
          <w:szCs w:val="32"/>
        </w:rPr>
        <w:t>“要素跟着项目走”机制。</w:t>
      </w:r>
    </w:p>
    <w:p w:rsidR="00A765C5" w:rsidRDefault="00702EF7" w:rsidP="00D715F2">
      <w:pPr>
        <w:numPr>
          <w:ilvl w:val="0"/>
          <w:numId w:val="2"/>
        </w:numPr>
        <w:snapToGrid w:val="0"/>
        <w:spacing w:beforeLines="50" w:before="156" w:afterLines="50" w:after="156" w:line="550" w:lineRule="exact"/>
        <w:ind w:firstLineChars="200" w:firstLine="640"/>
        <w:jc w:val="left"/>
        <w:outlineLvl w:val="0"/>
        <w:rPr>
          <w:rFonts w:ascii="Times New Roman" w:eastAsia="楷体_GB2312" w:hAnsi="Times New Roman" w:cs="Times New Roman"/>
          <w:sz w:val="32"/>
          <w:szCs w:val="32"/>
        </w:rPr>
      </w:pPr>
      <w:bookmarkStart w:id="2222" w:name="_Toc5244"/>
      <w:bookmarkStart w:id="2223" w:name="_Toc31514"/>
      <w:bookmarkStart w:id="2224" w:name="_Toc29490"/>
      <w:bookmarkStart w:id="2225" w:name="_Toc4586"/>
      <w:bookmarkStart w:id="2226" w:name="_Toc24328"/>
      <w:bookmarkStart w:id="2227" w:name="_Toc8697"/>
      <w:bookmarkStart w:id="2228" w:name="_Toc22520"/>
      <w:bookmarkStart w:id="2229" w:name="_Toc19462"/>
      <w:r>
        <w:rPr>
          <w:rFonts w:ascii="Times New Roman" w:eastAsia="楷体_GB2312" w:hAnsi="Times New Roman" w:cs="Times New Roman" w:hint="eastAsia"/>
          <w:sz w:val="32"/>
          <w:szCs w:val="32"/>
        </w:rPr>
        <w:t>落实重大项目</w:t>
      </w:r>
      <w:bookmarkEnd w:id="2219"/>
      <w:bookmarkEnd w:id="2220"/>
      <w:bookmarkEnd w:id="2221"/>
      <w:r>
        <w:rPr>
          <w:rFonts w:ascii="Times New Roman" w:eastAsia="楷体_GB2312" w:hAnsi="Times New Roman" w:cs="Times New Roman" w:hint="eastAsia"/>
          <w:sz w:val="32"/>
          <w:szCs w:val="32"/>
        </w:rPr>
        <w:t>空间保障</w:t>
      </w:r>
      <w:bookmarkEnd w:id="2222"/>
      <w:bookmarkEnd w:id="2223"/>
      <w:bookmarkEnd w:id="2224"/>
      <w:bookmarkEnd w:id="2225"/>
      <w:bookmarkEnd w:id="2226"/>
      <w:bookmarkEnd w:id="2227"/>
      <w:bookmarkEnd w:id="2228"/>
      <w:bookmarkEnd w:id="2229"/>
    </w:p>
    <w:p w:rsidR="00A765C5" w:rsidRDefault="00702EF7" w:rsidP="00D715F2">
      <w:pPr>
        <w:spacing w:line="55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强化市域统筹，优先保障重大项目用地供给，保障国家、省、市级重大工程落地实施。建立重点领域重大项目库清单管理机制，完善重大项目服务保障制度，分类保障重大项目用地需求。</w:t>
      </w:r>
    </w:p>
    <w:p w:rsidR="0054519F" w:rsidRDefault="0054519F" w:rsidP="0054519F">
      <w:pPr>
        <w:pStyle w:val="a0"/>
        <w:rPr>
          <w:rFonts w:hint="default"/>
        </w:rPr>
      </w:pPr>
    </w:p>
    <w:p w:rsidR="0054519F" w:rsidRDefault="0054519F" w:rsidP="0054519F">
      <w:pPr>
        <w:pStyle w:val="a4"/>
      </w:pPr>
    </w:p>
    <w:p w:rsidR="0054519F" w:rsidRDefault="0054519F" w:rsidP="0054519F">
      <w:pPr>
        <w:pStyle w:val="a4"/>
      </w:pPr>
    </w:p>
    <w:p w:rsidR="0054519F" w:rsidRDefault="0054519F" w:rsidP="0054519F">
      <w:pPr>
        <w:spacing w:line="579" w:lineRule="exact"/>
      </w:pPr>
    </w:p>
    <w:p w:rsidR="0054519F" w:rsidRDefault="0054519F" w:rsidP="0054519F">
      <w:pPr>
        <w:spacing w:line="579" w:lineRule="exact"/>
      </w:pPr>
    </w:p>
    <w:p w:rsidR="0054519F" w:rsidRDefault="0054519F" w:rsidP="0054519F">
      <w:pPr>
        <w:pStyle w:val="a0"/>
        <w:rPr>
          <w:rFonts w:hint="default"/>
        </w:rPr>
      </w:pPr>
    </w:p>
    <w:p w:rsidR="0054519F" w:rsidRPr="0054519F" w:rsidRDefault="0054519F" w:rsidP="0054519F">
      <w:pPr>
        <w:pStyle w:val="a4"/>
      </w:pPr>
    </w:p>
    <w:tbl>
      <w:tblPr>
        <w:tblW w:w="0" w:type="auto"/>
        <w:jc w:val="center"/>
        <w:tblBorders>
          <w:top w:val="single" w:sz="8" w:space="0" w:color="auto"/>
          <w:bottom w:val="single" w:sz="8" w:space="0" w:color="auto"/>
          <w:insideH w:val="single" w:sz="8" w:space="0" w:color="auto"/>
          <w:insideV w:val="single" w:sz="8" w:space="0" w:color="auto"/>
        </w:tblBorders>
        <w:tblLook w:val="01E0" w:firstRow="1" w:lastRow="1" w:firstColumn="1" w:lastColumn="1" w:noHBand="0" w:noVBand="0"/>
      </w:tblPr>
      <w:tblGrid>
        <w:gridCol w:w="8466"/>
      </w:tblGrid>
      <w:tr w:rsidR="0054519F" w:rsidRPr="0054519F" w:rsidTr="00E71436">
        <w:trPr>
          <w:jc w:val="center"/>
        </w:trPr>
        <w:tc>
          <w:tcPr>
            <w:tcW w:w="8845" w:type="dxa"/>
          </w:tcPr>
          <w:p w:rsidR="0054519F" w:rsidRPr="0054519F" w:rsidRDefault="0054519F" w:rsidP="0054519F">
            <w:pPr>
              <w:ind w:leftChars="100" w:left="1050" w:rightChars="100" w:right="210" w:hangingChars="300" w:hanging="840"/>
              <w:rPr>
                <w:rFonts w:ascii="仿宋_GB2312" w:eastAsia="仿宋_GB2312"/>
                <w:sz w:val="28"/>
                <w:szCs w:val="28"/>
              </w:rPr>
            </w:pPr>
            <w:r w:rsidRPr="0054519F">
              <w:rPr>
                <w:rFonts w:ascii="仿宋_GB2312" w:eastAsia="仿宋_GB2312" w:hint="eastAsia"/>
                <w:sz w:val="28"/>
                <w:szCs w:val="28"/>
              </w:rPr>
              <w:t>抄送：市委办公室、各部委，市人大常委会办公室，市政协办公室，市纪委监委机关，丹东军分区，市法院，市检察院，各人民团体，中省驻丹直属单位，各新闻单位。</w:t>
            </w:r>
          </w:p>
        </w:tc>
      </w:tr>
      <w:tr w:rsidR="0054519F" w:rsidRPr="0054519F" w:rsidTr="00E71436">
        <w:trPr>
          <w:jc w:val="center"/>
        </w:trPr>
        <w:tc>
          <w:tcPr>
            <w:tcW w:w="8845" w:type="dxa"/>
          </w:tcPr>
          <w:p w:rsidR="0054519F" w:rsidRPr="0054519F" w:rsidRDefault="0054519F" w:rsidP="00894E32">
            <w:pPr>
              <w:tabs>
                <w:tab w:val="left" w:pos="1248"/>
              </w:tabs>
              <w:ind w:leftChars="100" w:left="210" w:rightChars="100" w:right="210"/>
              <w:rPr>
                <w:rFonts w:ascii="仿宋_GB2312" w:eastAsia="仿宋_GB2312"/>
                <w:sz w:val="28"/>
                <w:szCs w:val="28"/>
              </w:rPr>
            </w:pPr>
            <w:r w:rsidRPr="0054519F">
              <w:rPr>
                <w:rFonts w:ascii="仿宋_GB2312" w:eastAsia="仿宋_GB2312" w:hint="eastAsia"/>
                <w:sz w:val="28"/>
                <w:szCs w:val="28"/>
              </w:rPr>
              <w:t>丹东市人民政府办公室                2025年</w:t>
            </w:r>
            <w:r>
              <w:rPr>
                <w:rFonts w:ascii="仿宋_GB2312" w:eastAsia="仿宋_GB2312" w:hint="eastAsia"/>
                <w:sz w:val="28"/>
                <w:szCs w:val="28"/>
              </w:rPr>
              <w:t>5</w:t>
            </w:r>
            <w:r w:rsidRPr="0054519F">
              <w:rPr>
                <w:rFonts w:ascii="仿宋_GB2312" w:eastAsia="仿宋_GB2312" w:hint="eastAsia"/>
                <w:sz w:val="28"/>
                <w:szCs w:val="28"/>
              </w:rPr>
              <w:t>月</w:t>
            </w:r>
            <w:r w:rsidR="00894E32">
              <w:rPr>
                <w:rFonts w:ascii="仿宋_GB2312" w:eastAsia="仿宋_GB2312" w:hint="eastAsia"/>
                <w:sz w:val="28"/>
                <w:szCs w:val="28"/>
              </w:rPr>
              <w:t>9</w:t>
            </w:r>
            <w:bookmarkStart w:id="2230" w:name="_GoBack"/>
            <w:bookmarkEnd w:id="2230"/>
            <w:r w:rsidRPr="0054519F">
              <w:rPr>
                <w:rFonts w:ascii="仿宋_GB2312" w:eastAsia="仿宋_GB2312" w:hint="eastAsia"/>
                <w:sz w:val="28"/>
                <w:szCs w:val="28"/>
              </w:rPr>
              <w:t>日印发</w:t>
            </w:r>
          </w:p>
        </w:tc>
      </w:tr>
    </w:tbl>
    <w:p w:rsidR="0054519F" w:rsidRDefault="0054519F" w:rsidP="0054519F">
      <w:pPr>
        <w:spacing w:line="20" w:lineRule="exact"/>
      </w:pPr>
    </w:p>
    <w:p w:rsidR="0054519F" w:rsidRDefault="0054519F" w:rsidP="0054519F">
      <w:pPr>
        <w:spacing w:line="20" w:lineRule="exact"/>
      </w:pPr>
    </w:p>
    <w:p w:rsidR="0054519F" w:rsidRPr="0054519F" w:rsidRDefault="0054519F" w:rsidP="0054519F">
      <w:pPr>
        <w:pStyle w:val="a4"/>
      </w:pPr>
    </w:p>
    <w:sectPr w:rsidR="0054519F" w:rsidRPr="0054519F" w:rsidSect="00D715F2">
      <w:footerReference w:type="default" r:id="rId16"/>
      <w:pgSz w:w="11850" w:h="16783"/>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EF7" w:rsidRDefault="00702EF7">
      <w:r>
        <w:separator/>
      </w:r>
    </w:p>
  </w:endnote>
  <w:endnote w:type="continuationSeparator" w:id="0">
    <w:p w:rsidR="00702EF7" w:rsidRDefault="0070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小标宋_GBK">
    <w:altName w:val="微软雅黑"/>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EF7" w:rsidRDefault="00702EF7">
    <w:pPr>
      <w:pStyle w:val="a5"/>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02EF7" w:rsidRDefault="00702EF7">
                          <w:pPr>
                            <w:pStyle w:val="a5"/>
                          </w:pPr>
                          <w:r>
                            <w:t xml:space="preserve">— </w:t>
                          </w:r>
                          <w:r>
                            <w:fldChar w:fldCharType="begin"/>
                          </w:r>
                          <w:r>
                            <w:instrText xml:space="preserve"> PAGE  \* MERGEFORMAT </w:instrText>
                          </w:r>
                          <w:r>
                            <w:fldChar w:fldCharType="separate"/>
                          </w:r>
                          <w:r w:rsidR="00894E32">
                            <w:rPr>
                              <w:noProof/>
                            </w:rPr>
                            <w:t>118</w:t>
                          </w:r>
                          <w:r>
                            <w:fldChar w:fldCharType="end"/>
                          </w:r>
                          <w:r>
                            <w:t xml:space="preserve"> —</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5vjtAEAAEsDAAAOAAAAZHJzL2Uyb0RvYy54bWysU0tu2zAQ3RfIHQjuY8peBIZgOUgQpCgQ&#10;NAXSHoCmSIsAfxjSlnyB5gZdddN9z+VzdEhLzqe7ohtqODN8897MaHU9WEP2EqL2rqHzWUWJdMK3&#10;2m0b+u3r/eWSkpi4a7nxTjb0ICO9Xl98WPWhlgvfedNKIAjiYt2HhnYphZqxKDppeZz5IB0GlQfL&#10;E15hy1rgPaJbwxZVdcV6D20AL2SM6L07Bem64CslRXpUKspETEORWyonlHOTT7Ze8XoLPHRajDT4&#10;P7CwXDsseoa644mTHei/oKwW4KNXaSa8ZV4pLWTRgGrm1Ts1Tx0PsmjB5sRwblP8f7Di8/4LEN3i&#10;7Chx3OKIjj+ejz9/H399J/Pcnj7EGrOeAual4dYPOXX0R3Rm1YMCm7+oh2AcG304N1cOiYj8aLlY&#10;LisMCYxNF8RhL88DxPRRekuy0VDA6ZWm8v1DTKfUKSVXc/5eG4N+Xhv3xoGY2cMy9xPHbKVhM4zE&#10;N749oJ4eB99Qh5tJifnksK95RyYDJmMzGbsAetshtXnhFcPNLiGJwi1XOMGOhXFiRd24XXklXt9L&#10;1ss/sP4D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A+zm+O0AQAASwMAAA4AAAAAAAAAAAAAAAAALgIAAGRycy9lMm9Eb2MueG1sUEsB&#10;Ai0AFAAGAAgAAAAhAAxK8O7WAAAABQEAAA8AAAAAAAAAAAAAAAAADgQAAGRycy9kb3ducmV2Lnht&#10;bFBLBQYAAAAABAAEAPMAAAARBQAAAAA=&#10;" filled="f" stroked="f">
              <v:textbox style="mso-fit-shape-to-text:t" inset="0,0,0,0">
                <w:txbxContent>
                  <w:p w:rsidR="00702EF7" w:rsidRDefault="00702EF7">
                    <w:pPr>
                      <w:pStyle w:val="a5"/>
                    </w:pPr>
                    <w:r>
                      <w:t xml:space="preserve">— </w:t>
                    </w:r>
                    <w:r>
                      <w:fldChar w:fldCharType="begin"/>
                    </w:r>
                    <w:r>
                      <w:instrText xml:space="preserve"> PAGE  \* MERGEFORMAT </w:instrText>
                    </w:r>
                    <w:r>
                      <w:fldChar w:fldCharType="separate"/>
                    </w:r>
                    <w:r w:rsidR="00894E32">
                      <w:rPr>
                        <w:noProof/>
                      </w:rPr>
                      <w:t>118</w:t>
                    </w:r>
                    <w:r>
                      <w:fldChar w:fldCharType="end"/>
                    </w:r>
                    <w:r>
                      <w:t xml:space="preserve"> —</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EF7" w:rsidRDefault="00702EF7">
    <w:pPr>
      <w:pStyle w:val="a5"/>
    </w:pPr>
    <w:r>
      <w:rPr>
        <w:noProof/>
      </w:rPr>
      <mc:AlternateContent>
        <mc:Choice Requires="wps">
          <w:drawing>
            <wp:anchor distT="0" distB="0" distL="114300" distR="114300" simplePos="0" relativeHeight="251668480" behindDoc="0" locked="0" layoutInCell="1" allowOverlap="1" wp14:anchorId="6B2B5886" wp14:editId="78EFFB92">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02EF7" w:rsidRDefault="00702EF7">
                          <w:pPr>
                            <w:pStyle w:val="a5"/>
                          </w:pPr>
                          <w:r>
                            <w:t xml:space="preserve">— </w:t>
                          </w:r>
                          <w:r>
                            <w:fldChar w:fldCharType="begin"/>
                          </w:r>
                          <w:r>
                            <w:instrText xml:space="preserve"> PAGE  \* MERGEFORMAT </w:instrText>
                          </w:r>
                          <w:r>
                            <w:fldChar w:fldCharType="separate"/>
                          </w:r>
                          <w:r w:rsidR="00894E32">
                            <w:rPr>
                              <w:noProof/>
                            </w:rPr>
                            <w:t>124</w:t>
                          </w:r>
                          <w:r>
                            <w:fldChar w:fldCharType="end"/>
                          </w:r>
                          <w:r>
                            <w:t xml:space="preserve"> —</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9" type="#_x0000_t202" style="position:absolute;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OiltwEAAFIDAAAOAAAAZHJzL2Uyb0RvYy54bWysU81qGzEQvgfyDkL3WmsHilm8DgkhJVCa&#10;QpIHkLWSV6A/RrJ3/QLNG/TUS+99Lj9HRrLXSZpb6UU7mhl9830zs4vLwRqylRC1dw2dTipKpBO+&#10;1W7d0KfH209zSmLiruXGO9nQnYz0cnl+tuhDLWe+86aVQBDExboPDe1SCjVjUXTS8jjxQToMKg+W&#10;J7zCmrXAe0S3hs2q6jPrPbQBvJAxovfmEKTLgq+UFOleqSgTMQ1FbqmcUM5VPtlywes18NBpcaTB&#10;/4GF5dph0RPUDU+cbEB/gLJagI9epYnwlnmltJBFA6qZVn+peeh4kEULNieGU5vi/4MV37bfgei2&#10;oReUOG5xRPufz/tff/a/f5CL3J4+xBqzHgLmpeHaDzjm0R/RmVUPCmz+oh6CcWz07tRcOSQi8qP5&#10;bD6vMCQwNl4Qn70+DxDTF+ktyUZDAadXmsq3X2M6pI4puZrzt9qYMkHj3jkQM3tY5n7gmK00rIYi&#10;9cR/5dsdyupx/g11uKCUmDuH7c2rMhowGqvR2ATQ6w4ZTgu9GK42CbkUirnQAfZYHwdXRB6XLG/G&#10;23vJev0Vli8AAAD//wMAUEsDBBQABgAIAAAAIQAMSvDu1gAAAAUBAAAPAAAAZHJzL2Rvd25yZXYu&#10;eG1sTI9Ba8MwDIXvg/4Ho8Juq9MetpDFKaXQS2/rxmA3N1bjMFsOtpsm/37aGGwXoccTT9+rt5N3&#10;YsSY+kAK1qsCBFIbTE+dgrfXw0MJImVNRrtAqGDGBNtmcVfryoQbveB4yp3gEEqVVmBzHiopU2vR&#10;67QKAxJ7lxC9zixjJ03UNw73Tm6K4lF63RN/sHrAvcX283T1Cp6m94BDwj1+XMY22n4u3XFW6n45&#10;7Z5BZJzy3zF84zM6NMx0DlcySTgFXCT/TPY2Zcny/LvIppb/6ZsvAAAA//8DAFBLAQItABQABgAI&#10;AAAAIQC2gziS/gAAAOEBAAATAAAAAAAAAAAAAAAAAAAAAABbQ29udGVudF9UeXBlc10ueG1sUEsB&#10;Ai0AFAAGAAgAAAAhADj9If/WAAAAlAEAAAsAAAAAAAAAAAAAAAAALwEAAF9yZWxzLy5yZWxzUEsB&#10;Ai0AFAAGAAgAAAAhAHKc6KW3AQAAUgMAAA4AAAAAAAAAAAAAAAAALgIAAGRycy9lMm9Eb2MueG1s&#10;UEsBAi0AFAAGAAgAAAAhAAxK8O7WAAAABQEAAA8AAAAAAAAAAAAAAAAAEQQAAGRycy9kb3ducmV2&#10;LnhtbFBLBQYAAAAABAAEAPMAAAAUBQAAAAA=&#10;" filled="f" stroked="f">
              <v:textbox style="mso-fit-shape-to-text:t" inset="0,0,0,0">
                <w:txbxContent>
                  <w:p w:rsidR="00702EF7" w:rsidRDefault="00702EF7">
                    <w:pPr>
                      <w:pStyle w:val="a5"/>
                    </w:pPr>
                    <w:r>
                      <w:t xml:space="preserve">— </w:t>
                    </w:r>
                    <w:r>
                      <w:fldChar w:fldCharType="begin"/>
                    </w:r>
                    <w:r>
                      <w:instrText xml:space="preserve"> PAGE  \* MERGEFORMAT </w:instrText>
                    </w:r>
                    <w:r>
                      <w:fldChar w:fldCharType="separate"/>
                    </w:r>
                    <w:r w:rsidR="00894E32">
                      <w:rPr>
                        <w:noProof/>
                      </w:rPr>
                      <w:t>124</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EF7" w:rsidRDefault="00702EF7">
      <w:r>
        <w:separator/>
      </w:r>
    </w:p>
  </w:footnote>
  <w:footnote w:type="continuationSeparator" w:id="0">
    <w:p w:rsidR="00702EF7" w:rsidRDefault="00702E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6EDD63"/>
    <w:multiLevelType w:val="singleLevel"/>
    <w:tmpl w:val="896EDD63"/>
    <w:lvl w:ilvl="0">
      <w:start w:val="1"/>
      <w:numFmt w:val="chineseCounting"/>
      <w:suff w:val="space"/>
      <w:lvlText w:val="第%1节"/>
      <w:lvlJc w:val="left"/>
      <w:pPr>
        <w:tabs>
          <w:tab w:val="left" w:pos="0"/>
        </w:tabs>
      </w:pPr>
      <w:rPr>
        <w:rFonts w:hint="eastAsia"/>
      </w:rPr>
    </w:lvl>
  </w:abstractNum>
  <w:abstractNum w:abstractNumId="1">
    <w:nsid w:val="9B629FF5"/>
    <w:multiLevelType w:val="singleLevel"/>
    <w:tmpl w:val="9B629FF5"/>
    <w:lvl w:ilvl="0">
      <w:start w:val="1"/>
      <w:numFmt w:val="chineseCounting"/>
      <w:suff w:val="space"/>
      <w:lvlText w:val="第%1节"/>
      <w:lvlJc w:val="left"/>
      <w:pPr>
        <w:tabs>
          <w:tab w:val="left" w:pos="0"/>
        </w:tabs>
      </w:pPr>
      <w:rPr>
        <w:rFonts w:hint="eastAsia"/>
      </w:rPr>
    </w:lvl>
  </w:abstractNum>
  <w:abstractNum w:abstractNumId="2">
    <w:nsid w:val="9EBF438C"/>
    <w:multiLevelType w:val="singleLevel"/>
    <w:tmpl w:val="9EBF438C"/>
    <w:lvl w:ilvl="0">
      <w:start w:val="1"/>
      <w:numFmt w:val="chineseCounting"/>
      <w:suff w:val="space"/>
      <w:lvlText w:val="第%1节"/>
      <w:lvlJc w:val="left"/>
      <w:pPr>
        <w:tabs>
          <w:tab w:val="left" w:pos="0"/>
        </w:tabs>
      </w:pPr>
      <w:rPr>
        <w:rFonts w:hint="eastAsia"/>
      </w:rPr>
    </w:lvl>
  </w:abstractNum>
  <w:abstractNum w:abstractNumId="3">
    <w:nsid w:val="A60CA274"/>
    <w:multiLevelType w:val="singleLevel"/>
    <w:tmpl w:val="A60CA274"/>
    <w:lvl w:ilvl="0">
      <w:start w:val="1"/>
      <w:numFmt w:val="chineseCounting"/>
      <w:suff w:val="space"/>
      <w:lvlText w:val="第%1节"/>
      <w:lvlJc w:val="left"/>
      <w:pPr>
        <w:tabs>
          <w:tab w:val="left" w:pos="0"/>
        </w:tabs>
      </w:pPr>
      <w:rPr>
        <w:rFonts w:hint="eastAsia"/>
      </w:rPr>
    </w:lvl>
  </w:abstractNum>
  <w:abstractNum w:abstractNumId="4">
    <w:nsid w:val="BC98A63D"/>
    <w:multiLevelType w:val="singleLevel"/>
    <w:tmpl w:val="BC98A63D"/>
    <w:lvl w:ilvl="0">
      <w:start w:val="1"/>
      <w:numFmt w:val="chineseCounting"/>
      <w:suff w:val="space"/>
      <w:lvlText w:val="第%1节"/>
      <w:lvlJc w:val="left"/>
      <w:pPr>
        <w:tabs>
          <w:tab w:val="left" w:pos="0"/>
        </w:tabs>
      </w:pPr>
      <w:rPr>
        <w:rFonts w:hint="eastAsia"/>
      </w:rPr>
    </w:lvl>
  </w:abstractNum>
  <w:abstractNum w:abstractNumId="5">
    <w:nsid w:val="C310408E"/>
    <w:multiLevelType w:val="singleLevel"/>
    <w:tmpl w:val="C310408E"/>
    <w:lvl w:ilvl="0">
      <w:start w:val="1"/>
      <w:numFmt w:val="chineseCounting"/>
      <w:suff w:val="space"/>
      <w:lvlText w:val="第%1节"/>
      <w:lvlJc w:val="left"/>
      <w:pPr>
        <w:tabs>
          <w:tab w:val="left" w:pos="0"/>
        </w:tabs>
      </w:pPr>
      <w:rPr>
        <w:rFonts w:hint="eastAsia"/>
      </w:rPr>
    </w:lvl>
  </w:abstractNum>
  <w:abstractNum w:abstractNumId="6">
    <w:nsid w:val="CB743FE2"/>
    <w:multiLevelType w:val="singleLevel"/>
    <w:tmpl w:val="CB743FE2"/>
    <w:lvl w:ilvl="0">
      <w:start w:val="1"/>
      <w:numFmt w:val="decimal"/>
      <w:suff w:val="space"/>
      <w:lvlText w:val="专栏%1"/>
      <w:lvlJc w:val="left"/>
      <w:pPr>
        <w:tabs>
          <w:tab w:val="left" w:pos="0"/>
        </w:tabs>
      </w:pPr>
      <w:rPr>
        <w:rFonts w:ascii="黑体" w:eastAsia="黑体" w:hAnsi="黑体" w:cs="仿宋" w:hint="default"/>
        <w:b w:val="0"/>
        <w:bCs/>
        <w:color w:val="auto"/>
        <w:sz w:val="30"/>
        <w:szCs w:val="24"/>
        <w:highlight w:val="none"/>
      </w:rPr>
    </w:lvl>
  </w:abstractNum>
  <w:abstractNum w:abstractNumId="7">
    <w:nsid w:val="F62D240F"/>
    <w:multiLevelType w:val="singleLevel"/>
    <w:tmpl w:val="F62D240F"/>
    <w:lvl w:ilvl="0">
      <w:start w:val="1"/>
      <w:numFmt w:val="chineseCounting"/>
      <w:suff w:val="space"/>
      <w:lvlText w:val="第%1节"/>
      <w:lvlJc w:val="left"/>
      <w:pPr>
        <w:tabs>
          <w:tab w:val="left" w:pos="0"/>
        </w:tabs>
      </w:pPr>
      <w:rPr>
        <w:rFonts w:hint="eastAsia"/>
      </w:rPr>
    </w:lvl>
  </w:abstractNum>
  <w:abstractNum w:abstractNumId="8">
    <w:nsid w:val="072F5019"/>
    <w:multiLevelType w:val="singleLevel"/>
    <w:tmpl w:val="072F5019"/>
    <w:lvl w:ilvl="0">
      <w:start w:val="1"/>
      <w:numFmt w:val="chineseCounting"/>
      <w:suff w:val="space"/>
      <w:lvlText w:val="第%1节"/>
      <w:lvlJc w:val="left"/>
      <w:pPr>
        <w:tabs>
          <w:tab w:val="left" w:pos="0"/>
        </w:tabs>
      </w:pPr>
      <w:rPr>
        <w:rFonts w:hint="eastAsia"/>
      </w:rPr>
    </w:lvl>
  </w:abstractNum>
  <w:abstractNum w:abstractNumId="9">
    <w:nsid w:val="0EB64A3C"/>
    <w:multiLevelType w:val="singleLevel"/>
    <w:tmpl w:val="0EB64A3C"/>
    <w:lvl w:ilvl="0">
      <w:start w:val="1"/>
      <w:numFmt w:val="decimal"/>
      <w:suff w:val="space"/>
      <w:lvlText w:val="第%1条"/>
      <w:lvlJc w:val="left"/>
      <w:pPr>
        <w:tabs>
          <w:tab w:val="left" w:pos="0"/>
        </w:tabs>
      </w:pPr>
      <w:rPr>
        <w:rFonts w:ascii="楷体" w:eastAsia="楷体_GB2312" w:hAnsi="楷体" w:cs="楷体" w:hint="default"/>
        <w:sz w:val="32"/>
        <w:szCs w:val="24"/>
      </w:rPr>
    </w:lvl>
  </w:abstractNum>
  <w:abstractNum w:abstractNumId="10">
    <w:nsid w:val="305A9A95"/>
    <w:multiLevelType w:val="singleLevel"/>
    <w:tmpl w:val="305A9A95"/>
    <w:lvl w:ilvl="0">
      <w:start w:val="1"/>
      <w:numFmt w:val="chineseCounting"/>
      <w:suff w:val="space"/>
      <w:lvlText w:val="第%1节"/>
      <w:lvlJc w:val="left"/>
      <w:pPr>
        <w:tabs>
          <w:tab w:val="left" w:pos="0"/>
        </w:tabs>
      </w:pPr>
      <w:rPr>
        <w:rFonts w:hint="eastAsia"/>
      </w:rPr>
    </w:lvl>
  </w:abstractNum>
  <w:abstractNum w:abstractNumId="11">
    <w:nsid w:val="47BE0169"/>
    <w:multiLevelType w:val="singleLevel"/>
    <w:tmpl w:val="47BE0169"/>
    <w:lvl w:ilvl="0">
      <w:start w:val="1"/>
      <w:numFmt w:val="chineseCounting"/>
      <w:suff w:val="space"/>
      <w:lvlText w:val="第%1节"/>
      <w:lvlJc w:val="left"/>
      <w:pPr>
        <w:tabs>
          <w:tab w:val="left" w:pos="0"/>
        </w:tabs>
      </w:pPr>
      <w:rPr>
        <w:rFonts w:hint="eastAsia"/>
      </w:rPr>
    </w:lvl>
  </w:abstractNum>
  <w:abstractNum w:abstractNumId="12">
    <w:nsid w:val="591D4EAE"/>
    <w:multiLevelType w:val="singleLevel"/>
    <w:tmpl w:val="591D4EAE"/>
    <w:lvl w:ilvl="0">
      <w:start w:val="1"/>
      <w:numFmt w:val="chineseCounting"/>
      <w:suff w:val="space"/>
      <w:lvlText w:val="第%1节"/>
      <w:lvlJc w:val="left"/>
      <w:pPr>
        <w:tabs>
          <w:tab w:val="left" w:pos="0"/>
        </w:tabs>
      </w:pPr>
      <w:rPr>
        <w:rFonts w:hint="eastAsia"/>
      </w:rPr>
    </w:lvl>
  </w:abstractNum>
  <w:abstractNum w:abstractNumId="13">
    <w:nsid w:val="5A8B3243"/>
    <w:multiLevelType w:val="singleLevel"/>
    <w:tmpl w:val="5A8B3243"/>
    <w:lvl w:ilvl="0">
      <w:start w:val="1"/>
      <w:numFmt w:val="chineseCounting"/>
      <w:suff w:val="space"/>
      <w:lvlText w:val="第%1章"/>
      <w:lvlJc w:val="left"/>
      <w:rPr>
        <w:rFonts w:hint="eastAsia"/>
      </w:rPr>
    </w:lvl>
  </w:abstractNum>
  <w:abstractNum w:abstractNumId="14">
    <w:nsid w:val="6BF93A93"/>
    <w:multiLevelType w:val="singleLevel"/>
    <w:tmpl w:val="6BF93A93"/>
    <w:lvl w:ilvl="0">
      <w:start w:val="1"/>
      <w:numFmt w:val="chineseCounting"/>
      <w:suff w:val="space"/>
      <w:lvlText w:val="第%1节"/>
      <w:lvlJc w:val="left"/>
      <w:pPr>
        <w:tabs>
          <w:tab w:val="left" w:pos="0"/>
        </w:tabs>
      </w:pPr>
      <w:rPr>
        <w:rFonts w:hint="eastAsia"/>
      </w:rPr>
    </w:lvl>
  </w:abstractNum>
  <w:abstractNum w:abstractNumId="15">
    <w:nsid w:val="79E4BF87"/>
    <w:multiLevelType w:val="singleLevel"/>
    <w:tmpl w:val="79E4BF87"/>
    <w:lvl w:ilvl="0">
      <w:start w:val="1"/>
      <w:numFmt w:val="chineseCounting"/>
      <w:suff w:val="space"/>
      <w:lvlText w:val="第%1节"/>
      <w:lvlJc w:val="left"/>
      <w:pPr>
        <w:tabs>
          <w:tab w:val="left" w:pos="0"/>
        </w:tabs>
      </w:pPr>
      <w:rPr>
        <w:rFonts w:hint="eastAsia"/>
      </w:rPr>
    </w:lvl>
  </w:abstractNum>
  <w:num w:numId="1">
    <w:abstractNumId w:val="13"/>
  </w:num>
  <w:num w:numId="2">
    <w:abstractNumId w:val="9"/>
  </w:num>
  <w:num w:numId="3">
    <w:abstractNumId w:val="5"/>
  </w:num>
  <w:num w:numId="4">
    <w:abstractNumId w:val="2"/>
  </w:num>
  <w:num w:numId="5">
    <w:abstractNumId w:val="10"/>
  </w:num>
  <w:num w:numId="6">
    <w:abstractNumId w:val="11"/>
  </w:num>
  <w:num w:numId="7">
    <w:abstractNumId w:val="6"/>
  </w:num>
  <w:num w:numId="8">
    <w:abstractNumId w:val="4"/>
  </w:num>
  <w:num w:numId="9">
    <w:abstractNumId w:val="1"/>
  </w:num>
  <w:num w:numId="10">
    <w:abstractNumId w:val="3"/>
  </w:num>
  <w:num w:numId="11">
    <w:abstractNumId w:val="7"/>
  </w:num>
  <w:num w:numId="12">
    <w:abstractNumId w:val="8"/>
  </w:num>
  <w:num w:numId="13">
    <w:abstractNumId w:val="15"/>
  </w:num>
  <w:num w:numId="14">
    <w:abstractNumId w:val="0"/>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614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5C5"/>
    <w:rsid w:val="0054519F"/>
    <w:rsid w:val="006B5E5D"/>
    <w:rsid w:val="00702EF7"/>
    <w:rsid w:val="00894E32"/>
    <w:rsid w:val="00A765C5"/>
    <w:rsid w:val="00CB5758"/>
    <w:rsid w:val="00D715F2"/>
    <w:rsid w:val="1A095CBE"/>
    <w:rsid w:val="27C7236B"/>
    <w:rsid w:val="33BB3817"/>
    <w:rsid w:val="7B9D4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annotation text" w:uiPriority="99"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Calibri" w:hAnsi="Calibri" w:cs="Calibri"/>
      <w:kern w:val="2"/>
      <w:sz w:val="21"/>
      <w:szCs w:val="21"/>
    </w:rPr>
  </w:style>
  <w:style w:type="paragraph" w:styleId="1">
    <w:name w:val="heading 1"/>
    <w:basedOn w:val="a"/>
    <w:next w:val="a"/>
    <w:qFormat/>
    <w:pPr>
      <w:keepNext/>
      <w:keepLines/>
      <w:spacing w:line="420" w:lineRule="auto"/>
      <w:jc w:val="center"/>
      <w:outlineLvl w:val="0"/>
    </w:pPr>
    <w:rPr>
      <w:rFonts w:ascii="Tahoma" w:eastAsia="黑体" w:hAnsi="Tahoma"/>
      <w:b/>
      <w:kern w:val="44"/>
      <w:sz w:val="44"/>
    </w:rPr>
  </w:style>
  <w:style w:type="paragraph" w:styleId="2">
    <w:name w:val="heading 2"/>
    <w:basedOn w:val="a"/>
    <w:next w:val="a"/>
    <w:uiPriority w:val="9"/>
    <w:qFormat/>
    <w:pPr>
      <w:keepLines/>
      <w:spacing w:before="260" w:after="260" w:line="415" w:lineRule="auto"/>
      <w:outlineLvl w:val="1"/>
    </w:pPr>
    <w:rPr>
      <w:rFonts w:ascii="Calibri Light" w:hAnsi="Calibri Light" w:cs="Times New Roman"/>
      <w:b/>
      <w:bCs/>
      <w:sz w:val="28"/>
      <w:szCs w:val="32"/>
    </w:rPr>
  </w:style>
  <w:style w:type="paragraph" w:styleId="4">
    <w:name w:val="heading 4"/>
    <w:basedOn w:val="a"/>
    <w:next w:val="a"/>
    <w:uiPriority w:val="9"/>
    <w:qFormat/>
    <w:pPr>
      <w:keepNext/>
      <w:keepLines/>
      <w:spacing w:line="372" w:lineRule="auto"/>
      <w:outlineLvl w:val="3"/>
    </w:pPr>
    <w:rPr>
      <w:rFonts w:ascii="Arial" w:eastAsia="黑体" w:hAnsi="Arial" w:cs="Times New Roman"/>
      <w:b/>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uiPriority w:val="99"/>
    <w:unhideWhenUsed/>
    <w:qFormat/>
    <w:pPr>
      <w:ind w:left="153"/>
    </w:pPr>
    <w:rPr>
      <w:rFonts w:ascii="宋体" w:hAnsi="宋体" w:hint="eastAsia"/>
      <w:sz w:val="28"/>
    </w:rPr>
  </w:style>
  <w:style w:type="paragraph" w:styleId="a4">
    <w:name w:val="annotation text"/>
    <w:basedOn w:val="a"/>
    <w:uiPriority w:val="99"/>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toc 2"/>
    <w:basedOn w:val="a"/>
    <w:next w:val="a"/>
    <w:uiPriority w:val="39"/>
    <w:qFormat/>
    <w:pPr>
      <w:ind w:leftChars="200" w:left="420"/>
    </w:pPr>
  </w:style>
  <w:style w:type="paragraph" w:styleId="a7">
    <w:name w:val="Normal (Web)"/>
    <w:basedOn w:val="a"/>
    <w:qFormat/>
    <w:pPr>
      <w:spacing w:before="100" w:beforeAutospacing="1" w:after="100" w:afterAutospacing="1"/>
      <w:jc w:val="left"/>
    </w:pPr>
    <w:rPr>
      <w:rFonts w:cs="Times New Roman"/>
      <w:kern w:val="0"/>
      <w:sz w:val="24"/>
    </w:rPr>
  </w:style>
  <w:style w:type="character" w:styleId="a8">
    <w:name w:val="Hyperlink"/>
    <w:basedOn w:val="a1"/>
    <w:qFormat/>
    <w:rPr>
      <w:color w:val="0000FF"/>
      <w:u w:val="single"/>
    </w:rPr>
  </w:style>
  <w:style w:type="paragraph" w:customStyle="1" w:styleId="0">
    <w:name w:val="0正文"/>
    <w:qFormat/>
    <w:pPr>
      <w:widowControl w:val="0"/>
      <w:spacing w:line="360" w:lineRule="auto"/>
      <w:ind w:firstLineChars="200" w:firstLine="720"/>
    </w:pPr>
    <w:rPr>
      <w:sz w:val="24"/>
      <w:szCs w:val="22"/>
    </w:rPr>
  </w:style>
  <w:style w:type="paragraph" w:customStyle="1" w:styleId="00">
    <w:name w:val="0正文 福州文本"/>
    <w:basedOn w:val="a"/>
    <w:qFormat/>
    <w:pPr>
      <w:spacing w:line="600" w:lineRule="exact"/>
      <w:ind w:firstLineChars="200" w:firstLine="640"/>
    </w:pPr>
    <w:rPr>
      <w:rFonts w:ascii="仿宋" w:eastAsia="仿宋_GB2312" w:hAnsi="仿宋"/>
      <w:sz w:val="32"/>
      <w:szCs w:val="30"/>
    </w:rPr>
  </w:style>
  <w:style w:type="paragraph" w:styleId="a9">
    <w:name w:val="Balloon Text"/>
    <w:basedOn w:val="a"/>
    <w:link w:val="Char"/>
    <w:rsid w:val="00702EF7"/>
    <w:rPr>
      <w:sz w:val="18"/>
      <w:szCs w:val="18"/>
    </w:rPr>
  </w:style>
  <w:style w:type="character" w:customStyle="1" w:styleId="Char">
    <w:name w:val="批注框文本 Char"/>
    <w:basedOn w:val="a1"/>
    <w:link w:val="a9"/>
    <w:rsid w:val="00702EF7"/>
    <w:rPr>
      <w:rFonts w:ascii="Calibri" w:hAnsi="Calibri" w:cs="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annotation text" w:uiPriority="99"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Calibri" w:hAnsi="Calibri" w:cs="Calibri"/>
      <w:kern w:val="2"/>
      <w:sz w:val="21"/>
      <w:szCs w:val="21"/>
    </w:rPr>
  </w:style>
  <w:style w:type="paragraph" w:styleId="1">
    <w:name w:val="heading 1"/>
    <w:basedOn w:val="a"/>
    <w:next w:val="a"/>
    <w:qFormat/>
    <w:pPr>
      <w:keepNext/>
      <w:keepLines/>
      <w:spacing w:line="420" w:lineRule="auto"/>
      <w:jc w:val="center"/>
      <w:outlineLvl w:val="0"/>
    </w:pPr>
    <w:rPr>
      <w:rFonts w:ascii="Tahoma" w:eastAsia="黑体" w:hAnsi="Tahoma"/>
      <w:b/>
      <w:kern w:val="44"/>
      <w:sz w:val="44"/>
    </w:rPr>
  </w:style>
  <w:style w:type="paragraph" w:styleId="2">
    <w:name w:val="heading 2"/>
    <w:basedOn w:val="a"/>
    <w:next w:val="a"/>
    <w:uiPriority w:val="9"/>
    <w:qFormat/>
    <w:pPr>
      <w:keepLines/>
      <w:spacing w:before="260" w:after="260" w:line="415" w:lineRule="auto"/>
      <w:outlineLvl w:val="1"/>
    </w:pPr>
    <w:rPr>
      <w:rFonts w:ascii="Calibri Light" w:hAnsi="Calibri Light" w:cs="Times New Roman"/>
      <w:b/>
      <w:bCs/>
      <w:sz w:val="28"/>
      <w:szCs w:val="32"/>
    </w:rPr>
  </w:style>
  <w:style w:type="paragraph" w:styleId="4">
    <w:name w:val="heading 4"/>
    <w:basedOn w:val="a"/>
    <w:next w:val="a"/>
    <w:uiPriority w:val="9"/>
    <w:qFormat/>
    <w:pPr>
      <w:keepNext/>
      <w:keepLines/>
      <w:spacing w:line="372" w:lineRule="auto"/>
      <w:outlineLvl w:val="3"/>
    </w:pPr>
    <w:rPr>
      <w:rFonts w:ascii="Arial" w:eastAsia="黑体" w:hAnsi="Arial" w:cs="Times New Roman"/>
      <w:b/>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uiPriority w:val="99"/>
    <w:unhideWhenUsed/>
    <w:qFormat/>
    <w:pPr>
      <w:ind w:left="153"/>
    </w:pPr>
    <w:rPr>
      <w:rFonts w:ascii="宋体" w:hAnsi="宋体" w:hint="eastAsia"/>
      <w:sz w:val="28"/>
    </w:rPr>
  </w:style>
  <w:style w:type="paragraph" w:styleId="a4">
    <w:name w:val="annotation text"/>
    <w:basedOn w:val="a"/>
    <w:uiPriority w:val="99"/>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toc 2"/>
    <w:basedOn w:val="a"/>
    <w:next w:val="a"/>
    <w:uiPriority w:val="39"/>
    <w:qFormat/>
    <w:pPr>
      <w:ind w:leftChars="200" w:left="420"/>
    </w:pPr>
  </w:style>
  <w:style w:type="paragraph" w:styleId="a7">
    <w:name w:val="Normal (Web)"/>
    <w:basedOn w:val="a"/>
    <w:qFormat/>
    <w:pPr>
      <w:spacing w:before="100" w:beforeAutospacing="1" w:after="100" w:afterAutospacing="1"/>
      <w:jc w:val="left"/>
    </w:pPr>
    <w:rPr>
      <w:rFonts w:cs="Times New Roman"/>
      <w:kern w:val="0"/>
      <w:sz w:val="24"/>
    </w:rPr>
  </w:style>
  <w:style w:type="character" w:styleId="a8">
    <w:name w:val="Hyperlink"/>
    <w:basedOn w:val="a1"/>
    <w:qFormat/>
    <w:rPr>
      <w:color w:val="0000FF"/>
      <w:u w:val="single"/>
    </w:rPr>
  </w:style>
  <w:style w:type="paragraph" w:customStyle="1" w:styleId="0">
    <w:name w:val="0正文"/>
    <w:qFormat/>
    <w:pPr>
      <w:widowControl w:val="0"/>
      <w:spacing w:line="360" w:lineRule="auto"/>
      <w:ind w:firstLineChars="200" w:firstLine="720"/>
    </w:pPr>
    <w:rPr>
      <w:sz w:val="24"/>
      <w:szCs w:val="22"/>
    </w:rPr>
  </w:style>
  <w:style w:type="paragraph" w:customStyle="1" w:styleId="00">
    <w:name w:val="0正文 福州文本"/>
    <w:basedOn w:val="a"/>
    <w:qFormat/>
    <w:pPr>
      <w:spacing w:line="600" w:lineRule="exact"/>
      <w:ind w:firstLineChars="200" w:firstLine="640"/>
    </w:pPr>
    <w:rPr>
      <w:rFonts w:ascii="仿宋" w:eastAsia="仿宋_GB2312" w:hAnsi="仿宋"/>
      <w:sz w:val="32"/>
      <w:szCs w:val="30"/>
    </w:rPr>
  </w:style>
  <w:style w:type="paragraph" w:styleId="a9">
    <w:name w:val="Balloon Text"/>
    <w:basedOn w:val="a"/>
    <w:link w:val="Char"/>
    <w:rsid w:val="00702EF7"/>
    <w:rPr>
      <w:sz w:val="18"/>
      <w:szCs w:val="18"/>
    </w:rPr>
  </w:style>
  <w:style w:type="character" w:customStyle="1" w:styleId="Char">
    <w:name w:val="批注框文本 Char"/>
    <w:basedOn w:val="a1"/>
    <w:link w:val="a9"/>
    <w:rsid w:val="00702EF7"/>
    <w:rPr>
      <w:rFonts w:ascii="Calibri"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124</Pages>
  <Words>54388</Words>
  <Characters>2507</Characters>
  <Application>Microsoft Office Word</Application>
  <DocSecurity>0</DocSecurity>
  <Lines>20</Lines>
  <Paragraphs>113</Paragraphs>
  <ScaleCrop>false</ScaleCrop>
  <Company>微软中国</Company>
  <LinksUpToDate>false</LinksUpToDate>
  <CharactersWithSpaces>56782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王红</cp:lastModifiedBy>
  <cp:revision>6</cp:revision>
  <dcterms:created xsi:type="dcterms:W3CDTF">2025-04-23T02:09:00Z</dcterms:created>
  <dcterms:modified xsi:type="dcterms:W3CDTF">2025-05-12T07:12:00Z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DocerSaveRecord">
    <vt:lpwstr>eyJoZGlkIjoiZjJiMjc5N2IxZjcwYmEyMTM0NTg2ZGRhYjgzOTg0MjQiLCJ1c2VySWQiOiIyODA0MzU5MjIifQ==</vt:lpwstr>
  </property>
  <property fmtid="{D5CDD505-2E9C-101B-9397-08002B2CF9AE}" pid="4" name="ICV">
    <vt:lpwstr>7C4B433E09A34051AD9582A926AB8249_12</vt:lpwstr>
  </property>
</Properties>
</file>