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p>
    <w:p>
      <w:pPr>
        <w:jc w:val="center"/>
        <w:rPr>
          <w:rFonts w:asciiTheme="majorEastAsia" w:hAnsiTheme="majorEastAsia" w:eastAsiaTheme="majorEastAsia"/>
          <w:b/>
          <w:sz w:val="48"/>
          <w:szCs w:val="48"/>
        </w:rPr>
      </w:pPr>
      <w:r>
        <w:rPr>
          <w:rFonts w:hint="eastAsia" w:asciiTheme="majorEastAsia" w:hAnsiTheme="majorEastAsia" w:eastAsiaTheme="majorEastAsia"/>
          <w:b/>
          <w:sz w:val="48"/>
          <w:szCs w:val="48"/>
        </w:rPr>
        <w:t>关于支持工业企业技术改造 引领制造业高质量发展的若干措施</w:t>
      </w:r>
    </w:p>
    <w:p>
      <w:pPr>
        <w:ind w:firstLine="3240" w:firstLineChars="900"/>
        <w:rPr>
          <w:rFonts w:ascii="楷体" w:hAnsi="楷体" w:eastAsia="楷体" w:cs="楷体"/>
          <w:sz w:val="36"/>
          <w:szCs w:val="36"/>
        </w:rPr>
      </w:pPr>
      <w:r>
        <w:rPr>
          <w:rFonts w:hint="eastAsia" w:ascii="楷体" w:hAnsi="楷体" w:eastAsia="楷体" w:cs="楷体"/>
          <w:sz w:val="36"/>
          <w:szCs w:val="36"/>
        </w:rPr>
        <w:t>（</w:t>
      </w:r>
      <w:r>
        <w:rPr>
          <w:rFonts w:hint="eastAsia" w:ascii="楷体" w:hAnsi="楷体" w:eastAsia="楷体" w:cs="楷体"/>
          <w:sz w:val="36"/>
          <w:szCs w:val="36"/>
          <w:lang w:eastAsia="zh-CN"/>
        </w:rPr>
        <w:t>征求意见稿</w:t>
      </w:r>
      <w:r>
        <w:rPr>
          <w:rFonts w:hint="eastAsia" w:ascii="楷体" w:hAnsi="楷体" w:eastAsia="楷体" w:cs="楷体"/>
          <w:sz w:val="36"/>
          <w:szCs w:val="36"/>
        </w:rPr>
        <w:t>）</w:t>
      </w:r>
    </w:p>
    <w:p>
      <w:pPr>
        <w:pStyle w:val="3"/>
        <w:ind w:firstLine="720" w:firstLineChars="200"/>
        <w:rPr>
          <w:rFonts w:ascii="仿宋_GB2312" w:eastAsia="仿宋_GB2312"/>
          <w:sz w:val="36"/>
          <w:szCs w:val="36"/>
        </w:rPr>
      </w:pPr>
    </w:p>
    <w:p>
      <w:pPr>
        <w:pStyle w:val="3"/>
        <w:ind w:firstLine="720" w:firstLineChars="200"/>
        <w:rPr>
          <w:rFonts w:ascii="仿宋_GB2312" w:eastAsia="仿宋_GB2312"/>
          <w:sz w:val="36"/>
          <w:szCs w:val="36"/>
        </w:rPr>
      </w:pPr>
      <w:r>
        <w:rPr>
          <w:rFonts w:hint="eastAsia" w:ascii="仿宋_GB2312" w:eastAsia="仿宋_GB2312"/>
          <w:sz w:val="36"/>
          <w:szCs w:val="36"/>
        </w:rPr>
        <w:t>为进一步做好</w:t>
      </w:r>
      <w:bookmarkStart w:id="0" w:name="_GoBack"/>
      <w:bookmarkEnd w:id="0"/>
      <w:r>
        <w:rPr>
          <w:rFonts w:hint="eastAsia" w:ascii="仿宋_GB2312" w:eastAsia="仿宋_GB2312"/>
          <w:sz w:val="36"/>
          <w:szCs w:val="36"/>
        </w:rPr>
        <w:t>结构调整“三篇大文章”，持续深化“百企百亿技改专项行动”，支持丹东制造业企业利用新技术、新工艺、新模式加快向智能化、绿色化、高端化方向转型升级，提升核心竞争力，推动全市工业高质量发展，特提出如下措施。</w:t>
      </w:r>
    </w:p>
    <w:p>
      <w:pPr>
        <w:ind w:firstLine="720" w:firstLineChars="200"/>
        <w:rPr>
          <w:rFonts w:ascii="黑体" w:hAnsi="黑体" w:eastAsia="黑体" w:cs="仿宋"/>
          <w:bCs/>
          <w:color w:val="000000"/>
          <w:kern w:val="0"/>
          <w:sz w:val="36"/>
          <w:szCs w:val="36"/>
        </w:rPr>
      </w:pPr>
      <w:r>
        <w:rPr>
          <w:rFonts w:hint="eastAsia" w:ascii="黑体" w:hAnsi="黑体" w:eastAsia="黑体" w:cs="仿宋"/>
          <w:bCs/>
          <w:color w:val="000000"/>
          <w:kern w:val="0"/>
          <w:sz w:val="36"/>
          <w:szCs w:val="36"/>
        </w:rPr>
        <w:t>一、总体要求</w:t>
      </w:r>
    </w:p>
    <w:p>
      <w:pPr>
        <w:ind w:firstLine="722" w:firstLineChars="200"/>
        <w:rPr>
          <w:rFonts w:ascii="楷体_GB2312" w:hAnsi="仿宋" w:eastAsia="楷体_GB2312" w:cs="仿宋"/>
          <w:b/>
          <w:bCs/>
          <w:color w:val="000000"/>
          <w:kern w:val="0"/>
          <w:sz w:val="36"/>
          <w:szCs w:val="36"/>
        </w:rPr>
      </w:pPr>
      <w:r>
        <w:rPr>
          <w:rFonts w:hint="eastAsia" w:ascii="楷体_GB2312" w:hAnsi="仿宋" w:eastAsia="楷体_GB2312" w:cs="仿宋"/>
          <w:b/>
          <w:bCs/>
          <w:color w:val="000000"/>
          <w:kern w:val="0"/>
          <w:sz w:val="36"/>
          <w:szCs w:val="36"/>
        </w:rPr>
        <w:t>（一）指导思想</w:t>
      </w:r>
    </w:p>
    <w:p>
      <w:pPr>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坚持以习近平新时代中国特色社会主义思想为指导，全面落实习近平总书记关于东北振兴、辽宁振兴发展的重要讲话和指示精神，围绕做好省市关于结构调整“三篇大文章”工作部署，坚持需求导向、问题导向、效果导向，以推进工业经济高质量发展为目标，以技术改造为抓手，推进制造业加速向智能化、高端化、集群化、服务化、精品化、绿色化方向延伸拓展，努力抢占新一轮产业竞争制高点。</w:t>
      </w:r>
    </w:p>
    <w:p>
      <w:pPr>
        <w:ind w:firstLine="722" w:firstLineChars="200"/>
        <w:rPr>
          <w:rFonts w:ascii="楷体_GB2312" w:hAnsi="仿宋" w:eastAsia="楷体_GB2312" w:cs="仿宋"/>
          <w:b/>
          <w:bCs/>
          <w:color w:val="000000"/>
          <w:kern w:val="0"/>
          <w:sz w:val="36"/>
          <w:szCs w:val="36"/>
        </w:rPr>
      </w:pPr>
      <w:r>
        <w:rPr>
          <w:rFonts w:hint="eastAsia" w:ascii="楷体_GB2312" w:hAnsi="仿宋" w:eastAsia="楷体_GB2312" w:cs="仿宋"/>
          <w:b/>
          <w:bCs/>
          <w:color w:val="000000"/>
          <w:kern w:val="0"/>
          <w:sz w:val="36"/>
          <w:szCs w:val="36"/>
        </w:rPr>
        <w:t>（二）基本原则</w:t>
      </w:r>
    </w:p>
    <w:p>
      <w:pPr>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1.坚持主动对标。主动对标</w:t>
      </w:r>
      <w:r>
        <w:rPr>
          <w:rFonts w:hint="eastAsia" w:ascii="仿宋_GB2312" w:hAnsi="仿宋" w:eastAsia="仿宋_GB2312" w:cs="仿宋"/>
          <w:bCs/>
          <w:color w:val="000000"/>
          <w:kern w:val="0"/>
          <w:sz w:val="36"/>
          <w:szCs w:val="36"/>
          <w:lang w:eastAsia="zh-CN"/>
        </w:rPr>
        <w:t>国内</w:t>
      </w:r>
      <w:r>
        <w:rPr>
          <w:rFonts w:hint="eastAsia" w:ascii="仿宋_GB2312" w:hAnsi="仿宋" w:eastAsia="仿宋_GB2312" w:cs="仿宋"/>
          <w:bCs/>
          <w:color w:val="000000"/>
          <w:kern w:val="0"/>
          <w:sz w:val="36"/>
          <w:szCs w:val="36"/>
        </w:rPr>
        <w:t>国际先进水平，部分优势产业对标国际领先</w:t>
      </w:r>
      <w:r>
        <w:rPr>
          <w:rFonts w:hint="eastAsia" w:ascii="仿宋_GB2312" w:hAnsi="仿宋" w:eastAsia="仿宋_GB2312" w:cs="仿宋"/>
          <w:bCs/>
          <w:color w:val="000000"/>
          <w:kern w:val="0"/>
          <w:sz w:val="36"/>
          <w:szCs w:val="36"/>
          <w:lang w:eastAsia="zh-CN"/>
        </w:rPr>
        <w:t>标准</w:t>
      </w:r>
      <w:r>
        <w:rPr>
          <w:rFonts w:hint="eastAsia" w:ascii="仿宋_GB2312" w:hAnsi="仿宋" w:eastAsia="仿宋_GB2312" w:cs="仿宋"/>
          <w:bCs/>
          <w:color w:val="000000"/>
          <w:kern w:val="0"/>
          <w:sz w:val="36"/>
          <w:szCs w:val="36"/>
        </w:rPr>
        <w:t>，全面提高产品质量、工艺装备、能效环保水平，充分发挥重点龙头企业聚集和引领示范作用，带动全产业链提升。</w:t>
      </w:r>
    </w:p>
    <w:p>
      <w:pPr>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2.坚持创新驱动。鼓励企业通过引入新技术、新业态、新模式实施技术改造，提升产业核心竞争力，不断提高产业发展质量和效益。</w:t>
      </w:r>
    </w:p>
    <w:p>
      <w:pPr>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3.坚持企业为主。强化企业主体地位，以市场为导向，以推动高质量发展为目标，激发企业推进技术改造的内生动力，促进企业加大技术改造投入力度，加快产业转型升级步伐。</w:t>
      </w:r>
    </w:p>
    <w:p>
      <w:pPr>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4.坚持政府引导。发挥政府在规划布局、政策引导等方面的积极作用，深化关键要素的供给，进一步加强统筹协调、部门协同、市区联动，健全技术改造系统化推进机制和体系化引导政策，深化“放管服”改革，甘当服务企业的“店小二”，为企业技术改造提供良好服务。</w:t>
      </w:r>
    </w:p>
    <w:p>
      <w:pPr>
        <w:ind w:firstLine="722" w:firstLineChars="200"/>
        <w:rPr>
          <w:rFonts w:ascii="楷体_GB2312" w:hAnsi="仿宋" w:eastAsia="楷体_GB2312" w:cs="仿宋"/>
          <w:b/>
          <w:bCs/>
          <w:color w:val="000000"/>
          <w:kern w:val="0"/>
          <w:sz w:val="36"/>
          <w:szCs w:val="36"/>
        </w:rPr>
      </w:pPr>
      <w:r>
        <w:rPr>
          <w:rFonts w:hint="eastAsia" w:ascii="楷体_GB2312" w:hAnsi="仿宋" w:eastAsia="楷体_GB2312" w:cs="仿宋"/>
          <w:b/>
          <w:bCs/>
          <w:color w:val="000000"/>
          <w:kern w:val="0"/>
          <w:sz w:val="36"/>
          <w:szCs w:val="36"/>
        </w:rPr>
        <w:t>（三）工作目标</w:t>
      </w:r>
    </w:p>
    <w:p>
      <w:pPr>
        <w:pStyle w:val="3"/>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聚焦做好结构调整“三篇大文章”，围绕延链补链强链、数字赋能、绿色低碳循环发展、产业基础能力提升，制定政策措施。</w:t>
      </w:r>
      <w:r>
        <w:rPr>
          <w:rFonts w:hint="eastAsia" w:ascii="仿宋_GB2312" w:eastAsia="仿宋_GB2312"/>
          <w:sz w:val="36"/>
          <w:szCs w:val="36"/>
        </w:rPr>
        <w:t>一是以数字赋能为抓手促进“老字号”由硬变软</w:t>
      </w:r>
      <w:r>
        <w:rPr>
          <w:rFonts w:hint="eastAsia" w:ascii="仿宋_GB2312" w:hAnsi="仿宋" w:eastAsia="仿宋_GB2312" w:cs="仿宋"/>
          <w:bCs/>
          <w:color w:val="000000"/>
          <w:kern w:val="0"/>
          <w:sz w:val="36"/>
          <w:szCs w:val="36"/>
        </w:rPr>
        <w:t>，支持企业利用数控机床与工业机器人、增材制造装备、自动检测与装配装备、自动物流与仓储装备、自动加工单元等自动化生产设备、自动化成套生产线进行技术改造升级，优化工艺技术流程，提高劳动生产率和产品优质率；</w:t>
      </w:r>
      <w:r>
        <w:rPr>
          <w:rFonts w:hint="eastAsia" w:ascii="仿宋_GB2312" w:eastAsia="仿宋_GB2312"/>
          <w:sz w:val="36"/>
          <w:szCs w:val="36"/>
        </w:rPr>
        <w:t>二是以延链补链为重点加快“原字号”由短拉长</w:t>
      </w:r>
      <w:r>
        <w:rPr>
          <w:rFonts w:hint="eastAsia" w:ascii="仿宋_GB2312" w:hAnsi="仿宋" w:eastAsia="仿宋_GB2312" w:cs="仿宋"/>
          <w:bCs/>
          <w:color w:val="000000"/>
          <w:kern w:val="0"/>
          <w:sz w:val="36"/>
          <w:szCs w:val="36"/>
        </w:rPr>
        <w:t>，支持农副产品深加工等劳动密集型企业实施“机器换人”，鼓励原材料产业链逐步拉伸长度，填补产业链空白；</w:t>
      </w:r>
      <w:r>
        <w:rPr>
          <w:rFonts w:hint="eastAsia" w:ascii="仿宋_GB2312" w:eastAsia="仿宋_GB2312"/>
          <w:sz w:val="36"/>
          <w:szCs w:val="36"/>
        </w:rPr>
        <w:t>三是以培育龙头为目标带动“新字号”由小做大</w:t>
      </w:r>
      <w:r>
        <w:rPr>
          <w:rFonts w:hint="eastAsia" w:ascii="仿宋_GB2312" w:hAnsi="仿宋" w:eastAsia="仿宋_GB2312" w:cs="仿宋"/>
          <w:bCs/>
          <w:color w:val="000000"/>
          <w:kern w:val="0"/>
          <w:sz w:val="36"/>
          <w:szCs w:val="36"/>
        </w:rPr>
        <w:t>，鼓励高端电子元器件、集成电路企业做大做强，加快含硼新材料、钛合金等产业研发关键技术，实现关键新兴产业规模化集聚。</w:t>
      </w:r>
    </w:p>
    <w:p>
      <w:pPr>
        <w:pStyle w:val="3"/>
        <w:ind w:firstLine="720" w:firstLineChars="200"/>
        <w:rPr>
          <w:rFonts w:ascii="黑体" w:hAnsi="黑体" w:eastAsia="黑体"/>
          <w:kern w:val="0"/>
          <w:sz w:val="36"/>
          <w:szCs w:val="36"/>
        </w:rPr>
      </w:pPr>
      <w:r>
        <w:rPr>
          <w:rFonts w:hint="eastAsia" w:ascii="黑体" w:hAnsi="黑体" w:eastAsia="黑体"/>
          <w:kern w:val="0"/>
          <w:sz w:val="36"/>
          <w:szCs w:val="36"/>
        </w:rPr>
        <w:t>二、支持优势产业升级改造</w:t>
      </w:r>
    </w:p>
    <w:p>
      <w:pPr>
        <w:pStyle w:val="3"/>
        <w:ind w:firstLine="722" w:firstLineChars="200"/>
        <w:rPr>
          <w:rFonts w:ascii="楷体_GB2312" w:hAnsi="仿宋" w:eastAsia="楷体_GB2312" w:cs="仿宋"/>
          <w:b/>
          <w:bCs/>
          <w:color w:val="000000"/>
          <w:kern w:val="0"/>
          <w:sz w:val="36"/>
          <w:szCs w:val="36"/>
        </w:rPr>
      </w:pPr>
      <w:r>
        <w:rPr>
          <w:rFonts w:hint="eastAsia" w:ascii="楷体_GB2312" w:hAnsi="仿宋" w:eastAsia="楷体_GB2312" w:cs="仿宋"/>
          <w:b/>
          <w:bCs/>
          <w:color w:val="000000"/>
          <w:kern w:val="0"/>
          <w:sz w:val="36"/>
          <w:szCs w:val="36"/>
        </w:rPr>
        <w:t>（一）支持优势产业实施技术改造项目</w:t>
      </w:r>
    </w:p>
    <w:p>
      <w:pPr>
        <w:pStyle w:val="3"/>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围绕传统装备制造业、仪器仪表和纺织服装产业优势，加快推进产业数字赋能，提质增效，优化产业结构，提高智能制造水平，增强核心竞争力。</w:t>
      </w:r>
      <w:r>
        <w:rPr>
          <w:rFonts w:hint="eastAsia" w:ascii="仿宋_GB2312" w:eastAsia="仿宋_GB2312"/>
          <w:kern w:val="0"/>
          <w:sz w:val="36"/>
          <w:szCs w:val="36"/>
        </w:rPr>
        <w:t>支持原材料行业企业加大技术改造力度，优化升级传统工艺，提高非金属矿产资源综合利用水平。支持农产品、水产品企业进军营养健康型精深加工领域，大力开发高附加值系列制品，建立电商及出口供应链。</w:t>
      </w:r>
    </w:p>
    <w:p>
      <w:pPr>
        <w:pStyle w:val="3"/>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以上产业技术改造项目，给予设备（软硬件）已投入资金最多10%的补助，上限不超过200万元，智能化、信息化程度较高，具有示范意义的项目可采取一事一议方式适当提高补助比例和支持资金上限；对有固定资产贷款的项目，按当年度1月份中国人民银行</w:t>
      </w:r>
      <w:r>
        <w:rPr>
          <w:rFonts w:hint="eastAsia" w:ascii="仿宋_GB2312" w:hAnsi="仿宋" w:eastAsia="仿宋_GB2312" w:cs="仿宋"/>
          <w:bCs/>
          <w:color w:val="000000"/>
          <w:kern w:val="0"/>
          <w:sz w:val="36"/>
          <w:szCs w:val="36"/>
          <w:lang w:eastAsia="zh-CN"/>
        </w:rPr>
        <w:t>贷款基础</w:t>
      </w:r>
      <w:r>
        <w:rPr>
          <w:rFonts w:hint="eastAsia" w:ascii="仿宋_GB2312" w:hAnsi="仿宋" w:eastAsia="仿宋_GB2312" w:cs="仿宋"/>
          <w:bCs/>
          <w:color w:val="000000"/>
          <w:kern w:val="0"/>
          <w:sz w:val="36"/>
          <w:szCs w:val="36"/>
        </w:rPr>
        <w:t>利率，给予最多一年的贴息支持，每个主体最多获得支持不超过200万元。</w:t>
      </w:r>
    </w:p>
    <w:p>
      <w:pPr>
        <w:pStyle w:val="3"/>
        <w:ind w:firstLine="722" w:firstLineChars="200"/>
        <w:rPr>
          <w:rFonts w:ascii="楷体_GB2312" w:hAnsi="仿宋" w:eastAsia="楷体_GB2312" w:cs="仿宋"/>
          <w:b/>
          <w:bCs/>
          <w:color w:val="000000"/>
          <w:kern w:val="0"/>
          <w:sz w:val="36"/>
          <w:szCs w:val="36"/>
        </w:rPr>
      </w:pPr>
      <w:r>
        <w:rPr>
          <w:rFonts w:hint="eastAsia" w:ascii="楷体_GB2312" w:hAnsi="仿宋" w:eastAsia="楷体_GB2312" w:cs="仿宋"/>
          <w:b/>
          <w:bCs/>
          <w:color w:val="000000"/>
          <w:kern w:val="0"/>
          <w:sz w:val="36"/>
          <w:szCs w:val="36"/>
        </w:rPr>
        <w:t>（二）支持工业互联网深度融合发展</w:t>
      </w:r>
    </w:p>
    <w:p>
      <w:pPr>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支持企业数字化、智能化升级，实现产品智能化、生产流程及管理信息化提升。支持云计算、大数据、互联网+、人工智能、移动互联、工业</w:t>
      </w:r>
      <w:r>
        <w:rPr>
          <w:rFonts w:hint="eastAsia" w:ascii="仿宋_GB2312" w:hAnsi="仿宋" w:eastAsia="仿宋_GB2312" w:cs="仿宋"/>
          <w:bCs/>
          <w:color w:val="000000"/>
          <w:kern w:val="0"/>
          <w:sz w:val="36"/>
          <w:szCs w:val="36"/>
          <w:lang w:eastAsia="zh-CN"/>
        </w:rPr>
        <w:t>应用程序</w:t>
      </w:r>
      <w:r>
        <w:rPr>
          <w:rFonts w:hint="eastAsia" w:ascii="仿宋_GB2312" w:hAnsi="仿宋" w:eastAsia="仿宋_GB2312" w:cs="仿宋"/>
          <w:bCs/>
          <w:color w:val="000000"/>
          <w:kern w:val="0"/>
          <w:sz w:val="36"/>
          <w:szCs w:val="36"/>
        </w:rPr>
        <w:t>等领域的创新项目，将给予不低于项目总投资额50%的补助，上限为200万元。支持对丹东市工业互联网产业发展有重大影响的项目，对全市工业互联网发展工作有突出贡献的企业、研发机构、高校、社会组织奖补，原则上不超过200万元。支持应用丹东市工业互联网标识解析二级节点实现标识的注册与解析工作的企业，以及实现产品跟踪与溯源的企业。</w:t>
      </w:r>
    </w:p>
    <w:p>
      <w:pPr>
        <w:pStyle w:val="3"/>
        <w:ind w:firstLine="720" w:firstLineChars="200"/>
        <w:rPr>
          <w:rFonts w:ascii="黑体" w:hAnsi="黑体" w:eastAsia="黑体"/>
          <w:kern w:val="0"/>
          <w:sz w:val="36"/>
          <w:szCs w:val="36"/>
        </w:rPr>
      </w:pPr>
      <w:r>
        <w:rPr>
          <w:rFonts w:hint="eastAsia" w:ascii="黑体" w:hAnsi="黑体" w:eastAsia="黑体"/>
          <w:kern w:val="0"/>
          <w:sz w:val="36"/>
          <w:szCs w:val="36"/>
        </w:rPr>
        <w:t>三、扶持新兴产业发展壮大</w:t>
      </w:r>
    </w:p>
    <w:p>
      <w:pPr>
        <w:pStyle w:val="3"/>
        <w:ind w:firstLine="720" w:firstLineChars="200"/>
        <w:rPr>
          <w:rFonts w:ascii="仿宋_GB2312" w:eastAsia="仿宋_GB2312"/>
          <w:kern w:val="0"/>
          <w:sz w:val="36"/>
          <w:szCs w:val="36"/>
        </w:rPr>
      </w:pPr>
      <w:r>
        <w:rPr>
          <w:rFonts w:hint="eastAsia" w:ascii="仿宋_GB2312" w:eastAsia="仿宋_GB2312"/>
          <w:kern w:val="0"/>
          <w:sz w:val="36"/>
          <w:szCs w:val="36"/>
        </w:rPr>
        <w:t>加快壮大电子信息产业，培育一批高端电子元器件龙头企业，引进一批集成电路、高端医疗设备、传感器项目，加快发展含硼新材料产业，拓展满族医药及大健康产业规模。</w:t>
      </w:r>
    </w:p>
    <w:p>
      <w:pPr>
        <w:pStyle w:val="3"/>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以上产业技术改造项目，给予设备（软硬件）已投入资金最多20%的补助，上限不超过500万元，智能化、信息化程度较高的项目可适当提高补助比例和支持资金上限；对有固定资产贷款的项目，按当年度1月份中国人民银行</w:t>
      </w:r>
      <w:r>
        <w:rPr>
          <w:rFonts w:hint="eastAsia" w:ascii="仿宋_GB2312" w:hAnsi="仿宋" w:eastAsia="仿宋_GB2312" w:cs="仿宋"/>
          <w:bCs/>
          <w:color w:val="000000"/>
          <w:kern w:val="0"/>
          <w:sz w:val="36"/>
          <w:szCs w:val="36"/>
          <w:lang w:eastAsia="zh-CN"/>
        </w:rPr>
        <w:t>贷款基础</w:t>
      </w:r>
      <w:r>
        <w:rPr>
          <w:rFonts w:hint="eastAsia" w:ascii="仿宋_GB2312" w:hAnsi="仿宋" w:eastAsia="仿宋_GB2312" w:cs="仿宋"/>
          <w:bCs/>
          <w:color w:val="000000"/>
          <w:kern w:val="0"/>
          <w:sz w:val="36"/>
          <w:szCs w:val="36"/>
        </w:rPr>
        <w:t>利率，给予最多一年的贴息支持，每个主体最多获得支持不超过500万元。对延链补链作用明显、产业带动力强、头部示范作用明显的项目，采取一事一议的方式给予补助。</w:t>
      </w:r>
    </w:p>
    <w:p>
      <w:pPr>
        <w:pStyle w:val="3"/>
        <w:ind w:firstLine="720" w:firstLineChars="200"/>
        <w:rPr>
          <w:rFonts w:ascii="黑体" w:hAnsi="黑体" w:eastAsia="黑体"/>
          <w:kern w:val="0"/>
          <w:sz w:val="36"/>
          <w:szCs w:val="36"/>
        </w:rPr>
      </w:pPr>
      <w:r>
        <w:rPr>
          <w:rFonts w:hint="eastAsia" w:ascii="黑体" w:hAnsi="黑体" w:eastAsia="黑体"/>
          <w:kern w:val="0"/>
          <w:sz w:val="36"/>
          <w:szCs w:val="36"/>
        </w:rPr>
        <w:t>四、鼓励制造业企业增产扩能</w:t>
      </w:r>
    </w:p>
    <w:p>
      <w:pPr>
        <w:pStyle w:val="3"/>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鼓励制造业企业通过技术改造提升产能和产品利润，做大做强。对当年完成技术改造项目的制造业企业，自下一年度开始连续三年给予补助，单一年度获得补助额度，不超过该年度企业技改后形成的税金新增地方留成部分，获得奖补总额不超过该技术改造项目的总投资额度（鼓励纺织服装行业应用工业互联网数字赋能增加产值和税收，对实施数字化改造、应用工业互联网二级解析标识的纺织服装企业，参照执行）。</w:t>
      </w:r>
    </w:p>
    <w:p>
      <w:pPr>
        <w:pStyle w:val="3"/>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每年对新形成500万元以上工业技改固投的企业给予奖励，相关企业实施的项目应于当年开工后，及时进入统计局项目库，奖励企业法人或实施技改的技术团队5万元。</w:t>
      </w:r>
    </w:p>
    <w:p>
      <w:pPr>
        <w:pStyle w:val="3"/>
        <w:ind w:firstLine="720" w:firstLineChars="200"/>
        <w:rPr>
          <w:rFonts w:ascii="黑体" w:hAnsi="黑体" w:eastAsia="黑体" w:cs="仿宋"/>
          <w:bCs/>
          <w:color w:val="000000"/>
          <w:kern w:val="0"/>
          <w:sz w:val="36"/>
          <w:szCs w:val="36"/>
        </w:rPr>
      </w:pPr>
      <w:r>
        <w:rPr>
          <w:rFonts w:hint="eastAsia" w:ascii="黑体" w:hAnsi="黑体" w:eastAsia="黑体" w:cs="仿宋"/>
          <w:bCs/>
          <w:color w:val="000000"/>
          <w:kern w:val="0"/>
          <w:sz w:val="36"/>
          <w:szCs w:val="36"/>
        </w:rPr>
        <w:t>五、增强企业技术创新能力</w:t>
      </w:r>
    </w:p>
    <w:p>
      <w:pPr>
        <w:pStyle w:val="3"/>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支持制造业企业技术创新，深化产学研结合，加快科技成果本地产业化。聚焦战略性新兴产业、高技术制造业等领域，强化头部企业创新引领。</w:t>
      </w:r>
    </w:p>
    <w:p>
      <w:pPr>
        <w:pStyle w:val="3"/>
        <w:ind w:firstLine="722" w:firstLineChars="200"/>
        <w:rPr>
          <w:rFonts w:ascii="楷体_GB2312" w:hAnsi="仿宋" w:eastAsia="楷体_GB2312" w:cs="仿宋"/>
          <w:b/>
          <w:bCs/>
          <w:color w:val="000000"/>
          <w:kern w:val="0"/>
          <w:sz w:val="36"/>
          <w:szCs w:val="36"/>
        </w:rPr>
      </w:pPr>
      <w:r>
        <w:rPr>
          <w:rFonts w:hint="eastAsia" w:ascii="楷体_GB2312" w:hAnsi="仿宋" w:eastAsia="楷体_GB2312" w:cs="仿宋"/>
          <w:b/>
          <w:bCs/>
          <w:color w:val="000000"/>
          <w:kern w:val="0"/>
          <w:sz w:val="36"/>
          <w:szCs w:val="36"/>
        </w:rPr>
        <w:t>（一）支持企业基础创新能力提升</w:t>
      </w:r>
    </w:p>
    <w:p>
      <w:pPr>
        <w:pStyle w:val="3"/>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增强中小企业技术供给，对新获批国家制造业创新中心单位、国家技术创新示范企业单位、产业技术基础公共服务平台承担主体给予40万元的奖励；对新获评省级及以上企业技术中心和制造业创新中心能力提升及中试平台、重点实验室、专业技术创新中心，给予承担主体20万元的奖励。</w:t>
      </w:r>
    </w:p>
    <w:p>
      <w:pPr>
        <w:pStyle w:val="3"/>
        <w:ind w:firstLine="722" w:firstLineChars="200"/>
        <w:rPr>
          <w:rFonts w:ascii="楷体_GB2312" w:hAnsi="仿宋" w:eastAsia="楷体_GB2312" w:cs="仿宋"/>
          <w:b/>
          <w:bCs/>
          <w:color w:val="000000"/>
          <w:kern w:val="0"/>
          <w:sz w:val="36"/>
          <w:szCs w:val="36"/>
        </w:rPr>
      </w:pPr>
      <w:r>
        <w:rPr>
          <w:rFonts w:hint="eastAsia" w:ascii="楷体_GB2312" w:hAnsi="仿宋" w:eastAsia="楷体_GB2312" w:cs="仿宋"/>
          <w:b/>
          <w:bCs/>
          <w:color w:val="000000"/>
          <w:kern w:val="0"/>
          <w:sz w:val="36"/>
          <w:szCs w:val="36"/>
        </w:rPr>
        <w:t>（二）支持企业</w:t>
      </w:r>
      <w:r>
        <w:rPr>
          <w:rFonts w:hint="eastAsia" w:ascii="楷体_GB2312" w:hAnsi="仿宋" w:eastAsia="楷体_GB2312" w:cs="仿宋"/>
          <w:b/>
          <w:bCs/>
          <w:color w:val="000000"/>
          <w:kern w:val="0"/>
          <w:sz w:val="36"/>
          <w:szCs w:val="36"/>
          <w:lang w:eastAsia="zh-CN"/>
        </w:rPr>
        <w:t>提升</w:t>
      </w:r>
      <w:r>
        <w:rPr>
          <w:rFonts w:hint="eastAsia" w:ascii="楷体_GB2312" w:hAnsi="仿宋" w:eastAsia="楷体_GB2312" w:cs="仿宋"/>
          <w:b/>
          <w:bCs/>
          <w:color w:val="000000"/>
          <w:kern w:val="0"/>
          <w:sz w:val="36"/>
          <w:szCs w:val="36"/>
        </w:rPr>
        <w:t>设计创新能力</w:t>
      </w:r>
    </w:p>
    <w:p>
      <w:pPr>
        <w:pStyle w:val="3"/>
        <w:ind w:firstLine="720" w:firstLineChars="200"/>
        <w:rPr>
          <w:rFonts w:ascii="仿宋_GB2312" w:hAnsi="仿宋" w:eastAsia="仿宋_GB2312" w:cs="仿宋"/>
          <w:bCs/>
          <w:color w:val="000000"/>
          <w:kern w:val="0"/>
          <w:sz w:val="36"/>
          <w:szCs w:val="36"/>
        </w:rPr>
      </w:pPr>
      <w:r>
        <w:rPr>
          <w:rFonts w:hint="eastAsia" w:ascii="仿宋_GB2312" w:hAnsi="仿宋" w:eastAsia="仿宋_GB2312" w:cs="仿宋"/>
          <w:bCs/>
          <w:color w:val="000000"/>
          <w:kern w:val="0"/>
          <w:sz w:val="36"/>
          <w:szCs w:val="36"/>
        </w:rPr>
        <w:t>鼓励工业设计平台建设、设计成果转化、购买工业设计服务应用项目。对获评国家级工业设计中心，省级工业设计研究院、工业设计中心，获得国际国内重要奖项金奖的设计机构给予40万元的奖励。对新获评服务型制造示范企业、项目、平台的单位给予20万元奖励。</w:t>
      </w:r>
    </w:p>
    <w:p>
      <w:pPr>
        <w:pStyle w:val="3"/>
        <w:ind w:firstLine="720" w:firstLineChars="200"/>
        <w:rPr>
          <w:rFonts w:ascii="仿宋_GB2312" w:hAnsi="仿宋" w:eastAsia="仿宋_GB2312" w:cs="仿宋"/>
          <w:bCs/>
          <w:color w:val="000000"/>
          <w:kern w:val="0"/>
          <w:sz w:val="36"/>
          <w:szCs w:val="36"/>
        </w:rPr>
      </w:pPr>
    </w:p>
    <w:p>
      <w:pPr>
        <w:pStyle w:val="3"/>
        <w:ind w:firstLine="720" w:firstLineChars="200"/>
        <w:rPr>
          <w:rFonts w:ascii="仿宋_GB2312" w:hAnsi="仿宋" w:eastAsia="仿宋_GB2312" w:cs="仿宋"/>
          <w:bCs/>
          <w:color w:val="000000"/>
          <w:kern w:val="0"/>
          <w:sz w:val="36"/>
          <w:szCs w:val="36"/>
        </w:rPr>
      </w:pP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66094"/>
    </w:sdtPr>
    <w:sdtContent>
      <w:p>
        <w:pPr>
          <w:pStyle w:val="5"/>
          <w:jc w:val="center"/>
        </w:pPr>
        <w:r>
          <w:fldChar w:fldCharType="begin"/>
        </w:r>
        <w:r>
          <w:instrText xml:space="preserve"> PAGE   \* MERGEFORMAT </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5BB7"/>
    <w:rsid w:val="000478F1"/>
    <w:rsid w:val="00097645"/>
    <w:rsid w:val="000A26D5"/>
    <w:rsid w:val="000A3E95"/>
    <w:rsid w:val="000A41DD"/>
    <w:rsid w:val="000C4271"/>
    <w:rsid w:val="000C5110"/>
    <w:rsid w:val="001059BD"/>
    <w:rsid w:val="00121FC4"/>
    <w:rsid w:val="001263E7"/>
    <w:rsid w:val="00131661"/>
    <w:rsid w:val="00173BE0"/>
    <w:rsid w:val="001838E5"/>
    <w:rsid w:val="00190455"/>
    <w:rsid w:val="001A4D4C"/>
    <w:rsid w:val="001B2F3D"/>
    <w:rsid w:val="00285156"/>
    <w:rsid w:val="002A03BD"/>
    <w:rsid w:val="002B3023"/>
    <w:rsid w:val="002D6237"/>
    <w:rsid w:val="002E1095"/>
    <w:rsid w:val="003168B7"/>
    <w:rsid w:val="0037387A"/>
    <w:rsid w:val="003C2439"/>
    <w:rsid w:val="003D2278"/>
    <w:rsid w:val="003F4EA8"/>
    <w:rsid w:val="00411DBD"/>
    <w:rsid w:val="004131E5"/>
    <w:rsid w:val="00415C1F"/>
    <w:rsid w:val="004261FD"/>
    <w:rsid w:val="0045172C"/>
    <w:rsid w:val="004541AD"/>
    <w:rsid w:val="0046783B"/>
    <w:rsid w:val="00492774"/>
    <w:rsid w:val="0049429C"/>
    <w:rsid w:val="004A5F9D"/>
    <w:rsid w:val="00500D4F"/>
    <w:rsid w:val="00501B17"/>
    <w:rsid w:val="005B5E40"/>
    <w:rsid w:val="005C007A"/>
    <w:rsid w:val="005C3D38"/>
    <w:rsid w:val="005D45A7"/>
    <w:rsid w:val="0062294E"/>
    <w:rsid w:val="006339BA"/>
    <w:rsid w:val="006C13A7"/>
    <w:rsid w:val="006C649A"/>
    <w:rsid w:val="006F615D"/>
    <w:rsid w:val="00705BB7"/>
    <w:rsid w:val="007312F8"/>
    <w:rsid w:val="00734B36"/>
    <w:rsid w:val="0075062F"/>
    <w:rsid w:val="007A7F85"/>
    <w:rsid w:val="007C5489"/>
    <w:rsid w:val="007D6E17"/>
    <w:rsid w:val="007E2BB8"/>
    <w:rsid w:val="007F1C5A"/>
    <w:rsid w:val="00827D2E"/>
    <w:rsid w:val="00831CBE"/>
    <w:rsid w:val="008E3902"/>
    <w:rsid w:val="008E5C4F"/>
    <w:rsid w:val="008F43A4"/>
    <w:rsid w:val="00904107"/>
    <w:rsid w:val="0091243B"/>
    <w:rsid w:val="00974E6D"/>
    <w:rsid w:val="009B76AF"/>
    <w:rsid w:val="009D7901"/>
    <w:rsid w:val="009E12A4"/>
    <w:rsid w:val="009F3838"/>
    <w:rsid w:val="00A03710"/>
    <w:rsid w:val="00AA1AFC"/>
    <w:rsid w:val="00AC0A65"/>
    <w:rsid w:val="00AF3FB6"/>
    <w:rsid w:val="00B21474"/>
    <w:rsid w:val="00BD37F4"/>
    <w:rsid w:val="00C12684"/>
    <w:rsid w:val="00C322A9"/>
    <w:rsid w:val="00C41E43"/>
    <w:rsid w:val="00C54F96"/>
    <w:rsid w:val="00C83327"/>
    <w:rsid w:val="00D05A35"/>
    <w:rsid w:val="00D435B4"/>
    <w:rsid w:val="00D843CF"/>
    <w:rsid w:val="00DC14A5"/>
    <w:rsid w:val="00DF4548"/>
    <w:rsid w:val="00DF79C4"/>
    <w:rsid w:val="00E25415"/>
    <w:rsid w:val="00E4348C"/>
    <w:rsid w:val="00EA0993"/>
    <w:rsid w:val="00EA7668"/>
    <w:rsid w:val="00EF512D"/>
    <w:rsid w:val="00F15CA7"/>
    <w:rsid w:val="00F24F98"/>
    <w:rsid w:val="00F26EBF"/>
    <w:rsid w:val="00F46DE8"/>
    <w:rsid w:val="00F74C59"/>
    <w:rsid w:val="00F82FDB"/>
    <w:rsid w:val="00FA4FB6"/>
    <w:rsid w:val="00FB113A"/>
    <w:rsid w:val="00FB4A09"/>
    <w:rsid w:val="00FB5D51"/>
    <w:rsid w:val="00FC2CDD"/>
    <w:rsid w:val="00FD2657"/>
    <w:rsid w:val="00FE0D1F"/>
    <w:rsid w:val="369FBB73"/>
    <w:rsid w:val="61FA2F88"/>
    <w:rsid w:val="6EE50B47"/>
    <w:rsid w:val="792A26B2"/>
    <w:rsid w:val="7D6CE225"/>
    <w:rsid w:val="7EA78579"/>
    <w:rsid w:val="7EBF82AF"/>
    <w:rsid w:val="7EFC2ACC"/>
    <w:rsid w:val="7FDB8577"/>
    <w:rsid w:val="A36B2376"/>
    <w:rsid w:val="CFEFA273"/>
    <w:rsid w:val="E7E54798"/>
    <w:rsid w:val="EFEF5F51"/>
    <w:rsid w:val="F3B1582D"/>
    <w:rsid w:val="F3FFC583"/>
    <w:rsid w:val="FF4E6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basedOn w:val="1"/>
    <w:semiHidden/>
    <w:unhideWhenUsed/>
    <w:qFormat/>
    <w:uiPriority w:val="99"/>
    <w:pPr>
      <w:spacing w:after="120"/>
      <w:ind w:left="1440" w:leftChars="700" w:right="1440" w:rightChars="700"/>
    </w:pPr>
  </w:style>
  <w:style w:type="paragraph" w:styleId="3">
    <w:name w:val="Body Text"/>
    <w:basedOn w:val="1"/>
    <w:link w:val="9"/>
    <w:qFormat/>
    <w:uiPriority w:val="0"/>
    <w:rPr>
      <w:rFonts w:cs="Times New Roman"/>
      <w:sz w:val="30"/>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 Char"/>
    <w:basedOn w:val="8"/>
    <w:link w:val="3"/>
    <w:qFormat/>
    <w:uiPriority w:val="0"/>
    <w:rPr>
      <w:rFonts w:ascii="Times New Roman" w:hAnsi="Times New Roman" w:eastAsia="宋体" w:cs="Times New Roman"/>
      <w:sz w:val="30"/>
      <w:szCs w:val="24"/>
    </w:rPr>
  </w:style>
  <w:style w:type="character" w:customStyle="1" w:styleId="10">
    <w:name w:val="页眉 Char"/>
    <w:basedOn w:val="8"/>
    <w:link w:val="6"/>
    <w:semiHidden/>
    <w:qFormat/>
    <w:uiPriority w:val="99"/>
    <w:rPr>
      <w:rFonts w:ascii="Times New Roman" w:hAnsi="Times New Roman" w:eastAsia="宋体"/>
      <w:sz w:val="18"/>
      <w:szCs w:val="18"/>
    </w:rPr>
  </w:style>
  <w:style w:type="character" w:customStyle="1" w:styleId="11">
    <w:name w:val="页脚 Char"/>
    <w:basedOn w:val="8"/>
    <w:link w:val="5"/>
    <w:qFormat/>
    <w:uiPriority w:val="99"/>
    <w:rPr>
      <w:rFonts w:ascii="Times New Roman" w:hAnsi="Times New Roman" w:eastAsia="宋体"/>
      <w:sz w:val="18"/>
      <w:szCs w:val="18"/>
    </w:rPr>
  </w:style>
  <w:style w:type="character" w:customStyle="1" w:styleId="12">
    <w:name w:val="批注框文本 Char"/>
    <w:basedOn w:val="8"/>
    <w:link w:val="4"/>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376</Words>
  <Characters>2145</Characters>
  <Lines>17</Lines>
  <Paragraphs>5</Paragraphs>
  <TotalTime>132</TotalTime>
  <ScaleCrop>false</ScaleCrop>
  <LinksUpToDate>false</LinksUpToDate>
  <CharactersWithSpaces>2516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2022-01-15T09:19:00Z</dcterms:created>
  <dc:creator>杜立广</dc:creator>
  <cp:lastModifiedBy>thtf</cp:lastModifiedBy>
  <cp:lastPrinted>2022-03-18T06:03:00Z</cp:lastPrinted>
  <dcterms:modified xsi:type="dcterms:W3CDTF">2022-03-23T14:57:27Z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4E64F73F915E4D8FA9994CBF1B6117C2</vt:lpwstr>
  </property>
</Properties>
</file>