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jc w:val="center"/>
        <w:rPr>
          <w:rFonts w:ascii="华文中宋" w:hAnsi="华文中宋" w:eastAsia="华文中宋" w:cs="Arial"/>
          <w:color w:val="auto"/>
          <w:sz w:val="44"/>
          <w:szCs w:val="44"/>
        </w:rPr>
      </w:pPr>
      <w:r>
        <w:rPr>
          <w:rFonts w:hint="eastAsia" w:ascii="华文中宋" w:hAnsi="华文中宋" w:eastAsia="华文中宋" w:cs="Arial"/>
          <w:color w:val="auto"/>
          <w:sz w:val="44"/>
          <w:szCs w:val="44"/>
        </w:rPr>
        <w:t>丹东市人民政府关于推进职业教育实用</w:t>
      </w:r>
    </w:p>
    <w:p>
      <w:pPr>
        <w:pStyle w:val="5"/>
        <w:shd w:val="clear" w:color="auto" w:fill="FFFFFF"/>
        <w:spacing w:before="0" w:beforeAutospacing="0" w:after="0" w:afterAutospacing="0"/>
        <w:jc w:val="center"/>
        <w:rPr>
          <w:rFonts w:hint="eastAsia" w:ascii="黑体" w:hAnsi="黑体" w:eastAsia="华文中宋" w:cs="Arial"/>
          <w:color w:val="auto"/>
          <w:sz w:val="44"/>
          <w:szCs w:val="44"/>
          <w:lang w:eastAsia="zh-CN"/>
        </w:rPr>
      </w:pPr>
      <w:r>
        <w:rPr>
          <w:rFonts w:hint="eastAsia" w:ascii="华文中宋" w:hAnsi="华文中宋" w:eastAsia="华文中宋" w:cs="Arial"/>
          <w:color w:val="auto"/>
          <w:sz w:val="44"/>
          <w:szCs w:val="44"/>
        </w:rPr>
        <w:t>高效发展提升服务丹东振兴能力实施</w:t>
      </w:r>
      <w:r>
        <w:rPr>
          <w:rFonts w:hint="eastAsia" w:ascii="华文中宋" w:hAnsi="华文中宋" w:eastAsia="华文中宋" w:cs="Arial"/>
          <w:color w:val="auto"/>
          <w:sz w:val="44"/>
          <w:szCs w:val="44"/>
          <w:lang w:eastAsia="zh-CN"/>
        </w:rPr>
        <w:t>意见</w:t>
      </w:r>
    </w:p>
    <w:p>
      <w:pPr>
        <w:pStyle w:val="5"/>
        <w:shd w:val="clear" w:color="auto" w:fill="FFFFFF"/>
        <w:spacing w:before="0" w:beforeAutospacing="0" w:after="0" w:afterAutospacing="0"/>
        <w:ind w:firstLine="2880" w:firstLineChars="900"/>
        <w:jc w:val="both"/>
        <w:rPr>
          <w:rFonts w:ascii="仿宋_GB2312" w:hAnsi="黑体" w:eastAsia="仿宋_GB2312" w:cs="Arial"/>
          <w:color w:val="auto"/>
          <w:sz w:val="32"/>
          <w:szCs w:val="32"/>
        </w:rPr>
      </w:pPr>
      <w:r>
        <w:rPr>
          <w:rFonts w:hint="eastAsia" w:ascii="仿宋_GB2312" w:hAnsi="黑体" w:eastAsia="仿宋_GB2312" w:cs="Arial"/>
          <w:color w:val="auto"/>
          <w:sz w:val="32"/>
          <w:szCs w:val="32"/>
        </w:rPr>
        <w:t>（讨 论 稿）</w:t>
      </w:r>
    </w:p>
    <w:p>
      <w:pPr>
        <w:pStyle w:val="5"/>
        <w:shd w:val="clear" w:color="auto" w:fill="FFFFFF"/>
        <w:spacing w:before="0" w:beforeAutospacing="0" w:after="0" w:afterAutospacing="0" w:line="62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为贯彻《中共中央国务院关于支持东北地区深化改革创新推动高质量发展的意见》和全国职业教育大会精神，落实《教育部 辽宁省人民政府关于整省推进职业教育实用高效发展提升服务辽宁振兴能力的意见》（</w:t>
      </w:r>
      <w:r>
        <w:rPr>
          <w:rFonts w:hint="eastAsia" w:ascii="仿宋_GB2312" w:hAnsi="黑体" w:eastAsia="仿宋_GB2312" w:cs="Arial"/>
          <w:color w:val="auto"/>
          <w:sz w:val="32"/>
          <w:szCs w:val="32"/>
        </w:rPr>
        <w:t>辽政发〔2021〕2号</w:t>
      </w:r>
      <w:r>
        <w:rPr>
          <w:rFonts w:hint="eastAsia" w:ascii="仿宋_GB2312" w:hAnsi="Arial" w:eastAsia="仿宋_GB2312" w:cs="Arial"/>
          <w:color w:val="auto"/>
          <w:sz w:val="32"/>
          <w:szCs w:val="32"/>
        </w:rPr>
        <w:t>），推进我市职业教育实用高效发展，提升服务丹东全面振兴能力，制定本</w:t>
      </w:r>
      <w:r>
        <w:rPr>
          <w:rFonts w:hint="eastAsia" w:ascii="仿宋_GB2312" w:hAnsi="Arial" w:eastAsia="仿宋_GB2312" w:cs="Arial"/>
          <w:color w:val="auto"/>
          <w:sz w:val="32"/>
          <w:szCs w:val="32"/>
          <w:lang w:eastAsia="zh-CN"/>
        </w:rPr>
        <w:t>实施意见</w:t>
      </w:r>
      <w:r>
        <w:rPr>
          <w:rFonts w:hint="eastAsia" w:ascii="仿宋_GB2312" w:hAnsi="Arial" w:eastAsia="仿宋_GB2312" w:cs="Arial"/>
          <w:color w:val="auto"/>
          <w:sz w:val="32"/>
          <w:szCs w:val="32"/>
        </w:rPr>
        <w:t>。</w:t>
      </w:r>
    </w:p>
    <w:p>
      <w:pPr>
        <w:pStyle w:val="5"/>
        <w:shd w:val="clear" w:color="auto" w:fill="FFFFFF"/>
        <w:spacing w:before="0" w:beforeAutospacing="0" w:after="0" w:afterAutospacing="0" w:line="620" w:lineRule="exact"/>
        <w:ind w:firstLine="640" w:firstLineChars="200"/>
        <w:jc w:val="both"/>
        <w:rPr>
          <w:rFonts w:ascii="黑体" w:hAnsi="黑体" w:eastAsia="黑体" w:cs="Arial"/>
          <w:color w:val="auto"/>
          <w:sz w:val="32"/>
          <w:szCs w:val="32"/>
        </w:rPr>
      </w:pPr>
      <w:r>
        <w:rPr>
          <w:rFonts w:hint="eastAsia" w:ascii="黑体" w:hAnsi="黑体" w:eastAsia="黑体" w:cs="Arial"/>
          <w:color w:val="auto"/>
          <w:sz w:val="32"/>
          <w:szCs w:val="32"/>
        </w:rPr>
        <w:t>一、指导思想</w:t>
      </w:r>
    </w:p>
    <w:p>
      <w:pPr>
        <w:pStyle w:val="5"/>
        <w:shd w:val="clear" w:color="auto" w:fill="FFFFFF"/>
        <w:spacing w:before="0" w:beforeAutospacing="0" w:after="0" w:afterAutospacing="0" w:line="62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以习近平新时代中国特色社会主义思想为指导，全面贯彻党的十九大和十九届二中、三中、四中、五中全会精神,认真落实习近平总书记关于教育的重要论述及全国职业教育大会精神，坚持党的领导，坚持正确办学方向，坚持立德树人，深化产教融合、校企合作，深入推进育人方式、办学模式、管理体制、保障机制改革，增强职业教育适应性，</w:t>
      </w:r>
      <w:r>
        <w:rPr>
          <w:rFonts w:hint="eastAsia" w:ascii="仿宋_GB2312" w:eastAsia="仿宋_GB2312"/>
          <w:color w:val="auto"/>
          <w:sz w:val="32"/>
          <w:szCs w:val="32"/>
        </w:rPr>
        <w:t>促进教育链、人才链与产业链、创新链有效衔接。</w:t>
      </w:r>
      <w:r>
        <w:rPr>
          <w:rFonts w:hint="eastAsia" w:ascii="仿宋_GB2312" w:hAnsi="Arial" w:eastAsia="仿宋_GB2312" w:cs="Arial"/>
          <w:color w:val="auto"/>
          <w:sz w:val="32"/>
          <w:szCs w:val="32"/>
        </w:rPr>
        <w:t>加快构建现代职业教育体系，培养更多高素质技术技能人才、能工巧匠、大国工匠，营造劳动光荣的社会风尚和精益求精的敬业风气，进一步增强职业教育服务辽宁振兴发展能力。</w:t>
      </w:r>
    </w:p>
    <w:p>
      <w:pPr>
        <w:pStyle w:val="5"/>
        <w:shd w:val="clear" w:color="auto" w:fill="FFFFFF"/>
        <w:spacing w:before="0" w:beforeAutospacing="0" w:after="0" w:afterAutospacing="0" w:line="620" w:lineRule="exact"/>
        <w:ind w:firstLine="640" w:firstLineChars="200"/>
        <w:jc w:val="both"/>
        <w:rPr>
          <w:rFonts w:ascii="黑体" w:hAnsi="黑体" w:eastAsia="黑体" w:cs="Arial"/>
          <w:color w:val="auto"/>
          <w:sz w:val="32"/>
          <w:szCs w:val="32"/>
        </w:rPr>
      </w:pPr>
      <w:r>
        <w:rPr>
          <w:rFonts w:hint="eastAsia" w:ascii="黑体" w:hAnsi="黑体" w:eastAsia="黑体" w:cs="Arial"/>
          <w:color w:val="auto"/>
          <w:sz w:val="32"/>
          <w:szCs w:val="32"/>
        </w:rPr>
        <w:t>二、主要目标</w:t>
      </w:r>
    </w:p>
    <w:p>
      <w:pPr>
        <w:pStyle w:val="5"/>
        <w:shd w:val="clear" w:color="auto" w:fill="FFFFFF"/>
        <w:spacing w:before="0" w:beforeAutospacing="0" w:after="0" w:afterAutospacing="0" w:line="62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有效解决技术技能人才供需结构性矛盾，推动教育链、人才链与产业链、创新链有效衔接，打造技术技能人才供应链，促进我市职业教育发展环境更加优化，办学活力得到有效释放。到2022年，重点建设3所省级优质中职学校，2个省级高水平特色专业（群），</w:t>
      </w:r>
      <w:r>
        <w:rPr>
          <w:rFonts w:hint="eastAsia" w:ascii="仿宋_GB2312" w:hAnsi="仿宋" w:eastAsia="仿宋_GB2312"/>
          <w:color w:val="auto"/>
          <w:sz w:val="32"/>
          <w:szCs w:val="32"/>
        </w:rPr>
        <w:t>集中力量建设2个省级由企业参与的职业教育集团，2个省级现代学徒制试点学校，3个省级以上“学历证书+若干职业技能等级证书”制度（“1+X”证书制度）试点学校，</w:t>
      </w:r>
      <w:r>
        <w:rPr>
          <w:rFonts w:hint="eastAsia" w:ascii="仿宋_GB2312" w:hAnsi="Arial" w:eastAsia="仿宋_GB2312" w:cs="Arial"/>
          <w:color w:val="auto"/>
          <w:sz w:val="32"/>
          <w:szCs w:val="32"/>
        </w:rPr>
        <w:t>新增高素质技能人才1万人左右，完成职业技能培训9万人次左右。</w:t>
      </w:r>
    </w:p>
    <w:p>
      <w:pPr>
        <w:pStyle w:val="5"/>
        <w:shd w:val="clear" w:color="auto" w:fill="FFFFFF"/>
        <w:spacing w:before="0" w:beforeAutospacing="0" w:after="0" w:afterAutospacing="0" w:line="620" w:lineRule="exact"/>
        <w:ind w:firstLine="640" w:firstLineChars="200"/>
        <w:jc w:val="both"/>
        <w:rPr>
          <w:rFonts w:ascii="黑体" w:hAnsi="黑体" w:eastAsia="黑体" w:cs="Arial"/>
          <w:color w:val="auto"/>
          <w:sz w:val="32"/>
          <w:szCs w:val="32"/>
        </w:rPr>
      </w:pPr>
      <w:r>
        <w:rPr>
          <w:rFonts w:hint="eastAsia" w:ascii="黑体" w:hAnsi="黑体" w:eastAsia="黑体" w:cs="Arial"/>
          <w:color w:val="auto"/>
          <w:sz w:val="32"/>
          <w:szCs w:val="32"/>
        </w:rPr>
        <w:t>三、重点任务</w:t>
      </w:r>
    </w:p>
    <w:p>
      <w:pPr>
        <w:pStyle w:val="5"/>
        <w:shd w:val="clear" w:color="auto" w:fill="FFFFFF"/>
        <w:spacing w:before="0" w:beforeAutospacing="0" w:after="0" w:afterAutospacing="0" w:line="62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（一）</w:t>
      </w:r>
      <w:r>
        <w:rPr>
          <w:rFonts w:hint="eastAsia" w:ascii="仿宋_GB2312" w:hAnsi="Arial" w:eastAsia="仿宋_GB2312" w:cs="Arial"/>
          <w:b/>
          <w:color w:val="auto"/>
          <w:sz w:val="32"/>
          <w:szCs w:val="32"/>
        </w:rPr>
        <w:t>加强党对职业教育的全面领导，落实立德树人的根本任务。</w:t>
      </w:r>
      <w:r>
        <w:rPr>
          <w:rFonts w:hint="eastAsia" w:ascii="仿宋_GB2312" w:hAnsi="Arial" w:eastAsia="仿宋_GB2312" w:cs="Arial"/>
          <w:color w:val="auto"/>
          <w:sz w:val="32"/>
          <w:szCs w:val="32"/>
        </w:rPr>
        <w:t>加强党的建设和领导班子建设，采取专兼职结合方式为职业学校班子配备1名具有5年以上行业企业工作经历的高层次技术管理人才，让教育家、企业家共同办好职业学校。将工匠精神和劳模精神融入人才培养培训的全过程，充分发挥职教集团和行业协会作用，组织大国工匠和劳动模范进校园、进课堂，完善大国工匠和劳动模范担任德育兼职导师制度。指导职业学校上好思想政治理论课，推动思政课程和课程思政有机结合，建设2个省级思想政治课示范课堂、5个省级具有职业教育特点的课程思政教育案例。</w:t>
      </w:r>
    </w:p>
    <w:p>
      <w:pPr>
        <w:pStyle w:val="5"/>
        <w:shd w:val="clear" w:color="auto" w:fill="FFFFFF"/>
        <w:spacing w:before="0" w:beforeAutospacing="0" w:after="0" w:afterAutospacing="0" w:line="620" w:lineRule="exact"/>
        <w:ind w:firstLine="642" w:firstLineChars="200"/>
        <w:jc w:val="both"/>
        <w:rPr>
          <w:rFonts w:ascii="仿宋_GB2312" w:hAnsi="Arial" w:eastAsia="仿宋_GB2312" w:cs="Arial"/>
          <w:color w:val="auto"/>
          <w:sz w:val="32"/>
          <w:szCs w:val="32"/>
        </w:rPr>
      </w:pPr>
      <w:r>
        <w:rPr>
          <w:rFonts w:hint="eastAsia" w:ascii="仿宋_GB2312" w:hAnsi="Arial" w:eastAsia="仿宋_GB2312" w:cs="Arial"/>
          <w:b/>
          <w:color w:val="auto"/>
          <w:sz w:val="32"/>
          <w:szCs w:val="32"/>
        </w:rPr>
        <w:t>（二）</w:t>
      </w:r>
      <w:r>
        <w:rPr>
          <w:rFonts w:hint="eastAsia" w:ascii="仿宋_GB2312" w:hAnsi="仿宋" w:eastAsia="仿宋_GB2312"/>
          <w:b/>
          <w:color w:val="auto"/>
          <w:sz w:val="32"/>
          <w:szCs w:val="32"/>
        </w:rPr>
        <w:t>优化职业教育专业布局，推动职业教育与产业需求紧密对接</w:t>
      </w:r>
      <w:r>
        <w:rPr>
          <w:rFonts w:hint="eastAsia" w:ascii="仿宋_GB2312" w:hAnsi="Arial" w:eastAsia="仿宋_GB2312" w:cs="Arial"/>
          <w:b/>
          <w:color w:val="auto"/>
          <w:sz w:val="32"/>
          <w:szCs w:val="32"/>
        </w:rPr>
        <w:t>。</w:t>
      </w:r>
      <w:r>
        <w:rPr>
          <w:rFonts w:hint="eastAsia" w:ascii="仿宋_GB2312" w:eastAsia="仿宋_GB2312"/>
          <w:color w:val="auto"/>
          <w:sz w:val="32"/>
          <w:szCs w:val="32"/>
        </w:rPr>
        <w:t>实施高水平特色专业对接我市产业集群计划，</w:t>
      </w:r>
      <w:r>
        <w:rPr>
          <w:rFonts w:hint="eastAsia" w:ascii="仿宋_GB2312" w:hAnsi="仿宋" w:eastAsia="仿宋_GB2312"/>
          <w:color w:val="auto"/>
          <w:sz w:val="32"/>
          <w:szCs w:val="32"/>
        </w:rPr>
        <w:t>积极鼓励职业学校对接我市产业发展专业建设，服务当前东北东部绿色经济带发展，服务我市发展区域性中心城市建设，切实围绕加快服务丹东打造综合交通枢纽、旅游城市建设，围绕装备制造业、农副产品加工业，新能源汽车等新兴产业发展，推动沿海经济提质升级，重点建设</w:t>
      </w:r>
      <w:r>
        <w:rPr>
          <w:rFonts w:hint="eastAsia" w:ascii="仿宋_GB2312" w:hAnsi="Arial" w:eastAsia="仿宋_GB2312" w:cs="Arial"/>
          <w:color w:val="auto"/>
          <w:sz w:val="32"/>
          <w:szCs w:val="32"/>
        </w:rPr>
        <w:t>对接汽车与新能源汽车、工业机器人、数控机床等产业的相关专业（群）；鼓励涉农专业发展；加快发展现代服务业，培养交通运输、旅游、家政、养老、托育、健康、文体、休闲、现代物流、电子商务等现代服务业技术技能人才。建立健全专业布局动态调整机制，积极支持第三方机构开展职业教育星级专业评估。重点培育2个省级高水平特色专业（群）。</w:t>
      </w:r>
    </w:p>
    <w:p>
      <w:pPr>
        <w:pStyle w:val="5"/>
        <w:shd w:val="clear" w:color="auto" w:fill="FFFFFF"/>
        <w:spacing w:before="0" w:beforeAutospacing="0" w:after="0" w:afterAutospacing="0" w:line="620" w:lineRule="exact"/>
        <w:ind w:firstLine="642" w:firstLineChars="200"/>
        <w:jc w:val="both"/>
        <w:rPr>
          <w:rFonts w:ascii="仿宋_GB2312" w:hAnsi="Arial" w:eastAsia="仿宋_GB2312" w:cs="Arial"/>
          <w:color w:val="auto"/>
          <w:sz w:val="32"/>
          <w:szCs w:val="32"/>
        </w:rPr>
      </w:pPr>
      <w:r>
        <w:rPr>
          <w:rFonts w:hint="eastAsia" w:ascii="仿宋_GB2312" w:hAnsi="Arial" w:eastAsia="仿宋_GB2312" w:cs="Arial"/>
          <w:b/>
          <w:color w:val="auto"/>
          <w:sz w:val="32"/>
          <w:szCs w:val="32"/>
        </w:rPr>
        <w:t>（三）</w:t>
      </w:r>
      <w:r>
        <w:rPr>
          <w:rFonts w:hint="eastAsia" w:ascii="仿宋_GB2312" w:hAnsi="仿宋" w:eastAsia="仿宋_GB2312" w:cs="Arial"/>
          <w:b/>
          <w:color w:val="auto"/>
          <w:sz w:val="32"/>
          <w:szCs w:val="32"/>
        </w:rPr>
        <w:t>完善应用型人才培养体系，积极拓宽生源渠道。</w:t>
      </w:r>
      <w:r>
        <w:rPr>
          <w:rFonts w:hint="eastAsia" w:ascii="仿宋_GB2312" w:hAnsi="仿宋" w:eastAsia="仿宋_GB2312"/>
          <w:color w:val="auto"/>
          <w:sz w:val="32"/>
          <w:szCs w:val="32"/>
        </w:rPr>
        <w:t>广泛招收往届初高中毕业未升学学生、城乡劳动者、退役军人、退役运动员、下岗职工、返乡农民工等接受中等职业教育。</w:t>
      </w:r>
      <w:r>
        <w:rPr>
          <w:rFonts w:hint="eastAsia" w:ascii="仿宋_GB2312" w:eastAsia="仿宋_GB2312"/>
          <w:color w:val="auto"/>
          <w:sz w:val="32"/>
          <w:szCs w:val="32"/>
        </w:rPr>
        <w:t>大力宣传国家职业教育助学政策，积极帮助家庭经济困难学生、残疾学生、两后生等群体接受重点职业教育。</w:t>
      </w:r>
      <w:r>
        <w:rPr>
          <w:rFonts w:hint="eastAsia" w:ascii="仿宋_GB2312" w:hAnsi="仿宋" w:eastAsia="仿宋_GB2312" w:cs="Arial"/>
          <w:color w:val="auto"/>
          <w:sz w:val="32"/>
          <w:szCs w:val="32"/>
        </w:rPr>
        <w:t>推进县级职教中心创新转型发展，建好办好县级职教中心，精准服务“乡村振兴战略”和“县域经济发展战略”，为广大农村培养以新型职业农民为主体的农村实用人才。</w:t>
      </w:r>
    </w:p>
    <w:p>
      <w:pPr>
        <w:pStyle w:val="5"/>
        <w:shd w:val="clear" w:color="auto" w:fill="FFFFFF"/>
        <w:spacing w:before="0" w:beforeAutospacing="0" w:after="0" w:afterAutospacing="0" w:line="620" w:lineRule="exact"/>
        <w:ind w:firstLine="642" w:firstLineChars="200"/>
        <w:jc w:val="both"/>
        <w:rPr>
          <w:rFonts w:ascii="仿宋_GB2312" w:hAnsi="仿宋" w:eastAsia="仿宋_GB2312" w:cs="Arial"/>
          <w:color w:val="auto"/>
          <w:sz w:val="32"/>
          <w:szCs w:val="32"/>
        </w:rPr>
      </w:pPr>
      <w:r>
        <w:rPr>
          <w:rFonts w:hint="eastAsia" w:ascii="仿宋_GB2312" w:hAnsi="Arial" w:eastAsia="仿宋_GB2312" w:cs="Arial"/>
          <w:b/>
          <w:color w:val="auto"/>
          <w:sz w:val="32"/>
          <w:szCs w:val="32"/>
        </w:rPr>
        <w:t>（四）</w:t>
      </w:r>
      <w:r>
        <w:rPr>
          <w:rFonts w:hint="eastAsia" w:ascii="仿宋_GB2312" w:hAnsi="仿宋" w:eastAsia="仿宋_GB2312" w:cs="Arial"/>
          <w:b/>
          <w:color w:val="auto"/>
          <w:sz w:val="32"/>
          <w:szCs w:val="32"/>
        </w:rPr>
        <w:t>深化技术技能人才培养模式改革，推进1+X证书制度试点工作。</w:t>
      </w:r>
      <w:r>
        <w:rPr>
          <w:rFonts w:hint="eastAsia" w:ascii="仿宋_GB2312" w:hAnsi="仿宋" w:eastAsia="仿宋_GB2312" w:cs="Arial"/>
          <w:color w:val="auto"/>
          <w:sz w:val="32"/>
          <w:szCs w:val="32"/>
        </w:rPr>
        <w:t>探索实现学历证书和职业技能等级证书互通衔接。鼓励职业学校学生在获得学历证书的同时，积极取得多类职业技能等级证书，拓展就业创业本领。学校内培训可面向社会人群，院校外培训也可面向在校学生。重点建设3所省级以上1+X证书制度试点职业学校，在总结经验的基础上逐步扩大试点范围。落实职业教育国家“学分银行”相关要求，有序开展学历证书和职业技能等级证书所体现的学习成果的认定、积累和转换，为技术技能人才成长拓宽通道。</w:t>
      </w:r>
    </w:p>
    <w:p>
      <w:pPr>
        <w:pStyle w:val="5"/>
        <w:shd w:val="clear" w:color="auto" w:fill="FFFFFF"/>
        <w:spacing w:before="0" w:beforeAutospacing="0" w:after="0" w:afterAutospacing="0" w:line="620" w:lineRule="exact"/>
        <w:ind w:firstLine="642" w:firstLineChars="200"/>
        <w:jc w:val="both"/>
        <w:rPr>
          <w:rFonts w:ascii="仿宋_GB2312" w:hAnsi="Arial" w:eastAsia="仿宋_GB2312" w:cs="Arial"/>
          <w:b/>
          <w:color w:val="auto"/>
          <w:sz w:val="32"/>
          <w:szCs w:val="32"/>
        </w:rPr>
      </w:pPr>
      <w:r>
        <w:rPr>
          <w:rFonts w:hint="eastAsia" w:ascii="仿宋_GB2312" w:hAnsi="Arial" w:eastAsia="仿宋_GB2312" w:cs="Arial"/>
          <w:b/>
          <w:color w:val="auto"/>
          <w:sz w:val="32"/>
          <w:szCs w:val="32"/>
        </w:rPr>
        <w:t>（五）</w:t>
      </w:r>
      <w:r>
        <w:rPr>
          <w:rFonts w:hint="eastAsia" w:ascii="仿宋_GB2312" w:eastAsia="仿宋_GB2312"/>
          <w:b/>
          <w:color w:val="auto"/>
          <w:sz w:val="32"/>
          <w:szCs w:val="32"/>
        </w:rPr>
        <w:t>创新校企合作模式，扩大职业学校与我市行业企业的合作领域。</w:t>
      </w:r>
      <w:r>
        <w:rPr>
          <w:rFonts w:hint="eastAsia" w:ascii="仿宋_GB2312" w:eastAsia="仿宋_GB2312"/>
          <w:color w:val="auto"/>
          <w:sz w:val="32"/>
          <w:szCs w:val="32"/>
        </w:rPr>
        <w:t>进一步丰富与我市主导产业对接的示范性职教集团职能。着重建设以丹东</w:t>
      </w:r>
      <w:r>
        <w:rPr>
          <w:rFonts w:hint="eastAsia" w:ascii="仿宋_GB2312" w:eastAsia="仿宋_GB2312"/>
          <w:color w:val="auto"/>
          <w:sz w:val="32"/>
          <w:szCs w:val="32"/>
          <w:lang w:eastAsia="zh-CN"/>
        </w:rPr>
        <w:t>市中等职业技术专业学校</w:t>
      </w:r>
      <w:r>
        <w:rPr>
          <w:rFonts w:hint="eastAsia" w:ascii="仿宋_GB2312" w:eastAsia="仿宋_GB2312"/>
          <w:color w:val="auto"/>
          <w:sz w:val="32"/>
          <w:szCs w:val="32"/>
        </w:rPr>
        <w:t>为理事长单位，吸纳</w:t>
      </w:r>
      <w:r>
        <w:rPr>
          <w:rFonts w:hint="eastAsia" w:ascii="仿宋_GB2312" w:eastAsia="仿宋_GB2312"/>
          <w:color w:val="auto"/>
          <w:sz w:val="32"/>
          <w:szCs w:val="32"/>
          <w:lang w:eastAsia="zh-CN"/>
        </w:rPr>
        <w:t>曙光集团、</w:t>
      </w:r>
      <w:r>
        <w:rPr>
          <w:rFonts w:hint="eastAsia" w:ascii="仿宋_GB2312" w:eastAsia="仿宋_GB2312"/>
          <w:color w:val="auto"/>
          <w:sz w:val="32"/>
          <w:szCs w:val="32"/>
        </w:rPr>
        <w:t>五一八公司、和本公司、克隆集团、通达轴承公司、东发集团等知名企业参与，对接我市新能源汽车、仪器仪表、轻型精密设备等产业的现代装备制造业职教集团，培养装备制造业中高级技工队伍，强化技能培训；着重建设以丹东</w:t>
      </w:r>
      <w:r>
        <w:rPr>
          <w:rFonts w:hint="eastAsia" w:ascii="仿宋_GB2312" w:eastAsia="仿宋_GB2312"/>
          <w:color w:val="auto"/>
          <w:sz w:val="32"/>
          <w:szCs w:val="32"/>
          <w:lang w:eastAsia="zh-CN"/>
        </w:rPr>
        <w:t>市</w:t>
      </w:r>
      <w:r>
        <w:rPr>
          <w:rFonts w:hint="eastAsia" w:ascii="仿宋_GB2312" w:eastAsia="仿宋_GB2312"/>
          <w:color w:val="auto"/>
          <w:sz w:val="32"/>
          <w:szCs w:val="32"/>
        </w:rPr>
        <w:t>民族</w:t>
      </w:r>
      <w:r>
        <w:rPr>
          <w:rFonts w:hint="eastAsia" w:ascii="仿宋_GB2312" w:eastAsia="仿宋_GB2312"/>
          <w:color w:val="auto"/>
          <w:sz w:val="32"/>
          <w:szCs w:val="32"/>
          <w:lang w:eastAsia="zh-CN"/>
        </w:rPr>
        <w:t>中等职业技术专业</w:t>
      </w:r>
      <w:r>
        <w:rPr>
          <w:rFonts w:hint="eastAsia" w:ascii="仿宋_GB2312" w:eastAsia="仿宋_GB2312"/>
          <w:color w:val="auto"/>
          <w:sz w:val="32"/>
          <w:szCs w:val="32"/>
        </w:rPr>
        <w:t>学校为理事长单位，吸纳我市文化旅游集团、知名餐饮公司、旅行社等，对接我市生态旅游、会展业、养老养生、医学美容等产业的现代服务业职教集团，培训从业人员，助推全域旅游深入发展；着重建设以县级职教中心为核心，对接县域产业园区和美丽乡村建设的现代农业职教集团，大力开展农村实用技术员、新型职业农民、农村经营实体带头人、农村劳动力转移等各类培训，开展农村电商从业人员技术指导，为农村致富提供技术培训和信息，助力乡村振兴战略实施。</w:t>
      </w:r>
    </w:p>
    <w:p>
      <w:pPr>
        <w:pStyle w:val="5"/>
        <w:shd w:val="clear" w:color="auto" w:fill="FFFFFF"/>
        <w:spacing w:before="0" w:beforeAutospacing="0" w:after="0" w:afterAutospacing="0" w:line="620" w:lineRule="exact"/>
        <w:ind w:firstLine="642" w:firstLineChars="200"/>
        <w:jc w:val="both"/>
        <w:rPr>
          <w:rFonts w:ascii="仿宋_GB2312" w:eastAsia="仿宋_GB2312"/>
          <w:color w:val="auto"/>
          <w:sz w:val="32"/>
          <w:szCs w:val="32"/>
        </w:rPr>
      </w:pPr>
      <w:r>
        <w:rPr>
          <w:rFonts w:hint="eastAsia" w:ascii="仿宋_GB2312" w:hAnsi="Arial" w:eastAsia="仿宋_GB2312" w:cs="Arial"/>
          <w:b/>
          <w:color w:val="auto"/>
          <w:sz w:val="32"/>
          <w:szCs w:val="32"/>
        </w:rPr>
        <w:t>（六）深化产教融合，推进校企协同育人。</w:t>
      </w:r>
      <w:r>
        <w:rPr>
          <w:rFonts w:hint="eastAsia" w:ascii="仿宋_GB2312" w:hAnsi="仿宋" w:eastAsia="仿宋_GB2312"/>
          <w:color w:val="auto"/>
          <w:sz w:val="32"/>
          <w:szCs w:val="32"/>
        </w:rPr>
        <w:t>借鉴“双元制”等模式，总结推广现代学徒制和企业新型学徒制建设经验。深化教育教学改革，强化企业全程参与职业院校人才培养，校企共同研究制定人才培养方案，广泛推进“订单、定制、定向”培养模式，提高人才培养的适应性、实用性、针对性。</w:t>
      </w:r>
      <w:r>
        <w:rPr>
          <w:rFonts w:hint="eastAsia" w:ascii="仿宋_GB2312" w:hAnsi="Arial" w:eastAsia="仿宋_GB2312" w:cs="Arial"/>
          <w:color w:val="auto"/>
          <w:sz w:val="32"/>
          <w:szCs w:val="32"/>
        </w:rPr>
        <w:t>开展职业院校服务百家企业工作，以多种形式推进职教集团建设。以“引企驻校”、“引校进企”、“校企一体”形式深化校企合作，试点三天在企业、两天在学校的“3+2”培养模式。重点建设</w:t>
      </w:r>
      <w:r>
        <w:rPr>
          <w:rFonts w:hint="eastAsia" w:ascii="仿宋_GB2312" w:hAnsi="仿宋" w:eastAsia="仿宋_GB2312"/>
          <w:color w:val="auto"/>
          <w:sz w:val="32"/>
          <w:szCs w:val="32"/>
        </w:rPr>
        <w:t>2个省级现代学徒制试点学校</w:t>
      </w:r>
      <w:r>
        <w:rPr>
          <w:rFonts w:hint="eastAsia" w:ascii="仿宋_GB2312" w:hAnsi="Arial" w:eastAsia="仿宋_GB2312" w:cs="Arial"/>
          <w:color w:val="auto"/>
          <w:sz w:val="32"/>
          <w:szCs w:val="32"/>
        </w:rPr>
        <w:t>，</w:t>
      </w:r>
      <w:r>
        <w:rPr>
          <w:rFonts w:hint="eastAsia" w:ascii="仿宋_GB2312" w:eastAsia="仿宋_GB2312"/>
          <w:color w:val="auto"/>
          <w:sz w:val="32"/>
          <w:szCs w:val="32"/>
        </w:rPr>
        <w:t>引导和鼓励重点企业与职业学校建立人才联合培养机制，承担现代学徒制项目和任务。</w:t>
      </w:r>
    </w:p>
    <w:p>
      <w:pPr>
        <w:pStyle w:val="5"/>
        <w:shd w:val="clear" w:color="auto" w:fill="FFFFFF"/>
        <w:spacing w:before="0" w:beforeAutospacing="0" w:after="0" w:afterAutospacing="0" w:line="620" w:lineRule="exact"/>
        <w:ind w:firstLine="642" w:firstLineChars="200"/>
        <w:jc w:val="both"/>
        <w:rPr>
          <w:rFonts w:ascii="仿宋_GB2312" w:eastAsia="仿宋_GB2312"/>
          <w:color w:val="auto"/>
          <w:sz w:val="32"/>
          <w:szCs w:val="32"/>
        </w:rPr>
      </w:pPr>
      <w:r>
        <w:rPr>
          <w:rFonts w:hint="eastAsia" w:ascii="仿宋_GB2312" w:hAnsi="Arial" w:eastAsia="仿宋_GB2312" w:cs="Arial"/>
          <w:b/>
          <w:color w:val="auto"/>
          <w:sz w:val="32"/>
          <w:szCs w:val="32"/>
        </w:rPr>
        <w:t>（七）完善教师培养培训体系，打造“双师型”教师队伍</w:t>
      </w:r>
      <w:r>
        <w:rPr>
          <w:rFonts w:hint="eastAsia" w:ascii="仿宋_GB2312" w:hAnsi="仿宋" w:eastAsia="仿宋_GB2312" w:cs="Arial"/>
          <w:b/>
          <w:color w:val="auto"/>
          <w:sz w:val="32"/>
          <w:szCs w:val="32"/>
        </w:rPr>
        <w:t>。</w:t>
      </w:r>
      <w:r>
        <w:rPr>
          <w:rFonts w:hint="eastAsia" w:ascii="仿宋_GB2312" w:hAnsi="Arial" w:eastAsia="仿宋_GB2312" w:cs="Arial"/>
          <w:color w:val="auto"/>
          <w:sz w:val="32"/>
          <w:szCs w:val="32"/>
        </w:rPr>
        <w:t>按照公开招聘有关规定，建立完善以直接考核方式引进高层次、高技能人才机制。自2021年起，除持有相关领域职业技能等级证书的毕业生外，职业学校相关专业教师原则上从具有三年以上企业工作经历并具有高职专科以上学历的人员中公开招聘。推行“固定岗+流动岗”师资队伍建设机制，建立校企人员双向交流协作共同体。落实专业课教师全员轮训制度，实施5年累计不少于10个月企业实践制度。</w:t>
      </w:r>
      <w:r>
        <w:rPr>
          <w:rFonts w:hint="eastAsia" w:ascii="仿宋_GB2312" w:hAnsi="仿宋" w:eastAsia="仿宋_GB2312"/>
          <w:color w:val="auto"/>
          <w:sz w:val="32"/>
          <w:szCs w:val="32"/>
        </w:rPr>
        <w:t>落实职业院校教师素质提高计划，分专业遴选20名市级专业带头人。</w:t>
      </w:r>
    </w:p>
    <w:p>
      <w:pPr>
        <w:spacing w:line="620" w:lineRule="exact"/>
        <w:ind w:firstLine="642" w:firstLineChars="200"/>
        <w:jc w:val="both"/>
        <w:rPr>
          <w:rFonts w:ascii="仿宋_GB2312" w:hAnsi="仿宋" w:eastAsia="仿宋_GB2312"/>
          <w:color w:val="auto"/>
          <w:sz w:val="32"/>
          <w:szCs w:val="32"/>
        </w:rPr>
      </w:pPr>
      <w:r>
        <w:rPr>
          <w:rFonts w:hint="eastAsia" w:ascii="仿宋_GB2312" w:eastAsia="仿宋_GB2312"/>
          <w:b/>
          <w:color w:val="auto"/>
          <w:sz w:val="32"/>
          <w:szCs w:val="32"/>
        </w:rPr>
        <w:t>（八）</w:t>
      </w:r>
      <w:r>
        <w:rPr>
          <w:rFonts w:hint="eastAsia" w:ascii="仿宋_GB2312" w:hAnsi="仿宋" w:eastAsia="仿宋_GB2312"/>
          <w:b/>
          <w:color w:val="auto"/>
          <w:sz w:val="32"/>
          <w:szCs w:val="32"/>
        </w:rPr>
        <w:t>积极参与服务“一带一路”建设。</w:t>
      </w:r>
      <w:r>
        <w:rPr>
          <w:rFonts w:hint="eastAsia" w:ascii="仿宋_GB2312" w:hAnsi="仿宋" w:eastAsia="仿宋_GB2312"/>
          <w:color w:val="auto"/>
          <w:sz w:val="32"/>
          <w:szCs w:val="32"/>
        </w:rPr>
        <w:t>面向丹东全面振兴、全方位振兴和对外开放工作，积极参与服务“一带一路”建设，</w:t>
      </w:r>
      <w:r>
        <w:rPr>
          <w:rFonts w:hint="eastAsia" w:ascii="仿宋_GB2312" w:eastAsia="仿宋_GB2312"/>
          <w:color w:val="auto"/>
          <w:sz w:val="32"/>
          <w:szCs w:val="32"/>
        </w:rPr>
        <w:t>对接长三角一体化、京津冀经济圈、东北东部绿色经济带发展等国家发展战略，着力加强高技能人才资源合作与共享，推进创新链资源协调整合。进一步深化跨省及市域间创新与合作，</w:t>
      </w:r>
      <w:r>
        <w:rPr>
          <w:rFonts w:hint="eastAsia" w:ascii="仿宋_GB2312" w:hAnsi="仿宋" w:eastAsia="仿宋_GB2312"/>
          <w:color w:val="auto"/>
          <w:sz w:val="32"/>
          <w:szCs w:val="32"/>
        </w:rPr>
        <w:t>推动优质教育合作发展、</w:t>
      </w:r>
      <w:r>
        <w:rPr>
          <w:rFonts w:hint="eastAsia" w:ascii="仿宋_GB2312" w:eastAsia="仿宋_GB2312"/>
          <w:color w:val="auto"/>
          <w:sz w:val="32"/>
          <w:szCs w:val="32"/>
        </w:rPr>
        <w:t>校企联动、平台共建</w:t>
      </w:r>
      <w:r>
        <w:rPr>
          <w:rFonts w:hint="eastAsia" w:ascii="仿宋_GB2312" w:hAnsi="仿宋" w:eastAsia="仿宋_GB2312"/>
          <w:color w:val="auto"/>
          <w:sz w:val="32"/>
          <w:szCs w:val="32"/>
        </w:rPr>
        <w:t>，面向北京、上海、广东等重点地区市场需求，共建职业教育校外实训基地。加强与“走出去”企业对接，开展输出海外人才培养，在朝鲜半岛和东北亚等国家设立培训基地。</w:t>
      </w:r>
    </w:p>
    <w:p>
      <w:pPr>
        <w:spacing w:line="620" w:lineRule="exact"/>
        <w:ind w:firstLine="642" w:firstLineChars="200"/>
        <w:jc w:val="both"/>
        <w:rPr>
          <w:rFonts w:hint="eastAsia" w:ascii="仿宋_GB2312" w:hAnsi="Arial" w:eastAsia="仿宋_GB2312" w:cs="Arial"/>
          <w:color w:val="auto"/>
          <w:sz w:val="32"/>
          <w:szCs w:val="32"/>
          <w:lang w:eastAsia="zh-CN"/>
        </w:rPr>
      </w:pPr>
      <w:r>
        <w:rPr>
          <w:rFonts w:hint="eastAsia" w:ascii="仿宋_GB2312" w:hAnsi="Arial" w:eastAsia="仿宋_GB2312" w:cs="Arial"/>
          <w:b/>
          <w:color w:val="auto"/>
          <w:sz w:val="32"/>
          <w:szCs w:val="32"/>
        </w:rPr>
        <w:t>（九）</w:t>
      </w:r>
      <w:r>
        <w:rPr>
          <w:rFonts w:hint="eastAsia" w:ascii="仿宋_GB2312" w:hAnsi="Arial" w:eastAsia="仿宋_GB2312" w:cs="Arial"/>
          <w:b/>
          <w:color w:val="auto"/>
          <w:sz w:val="32"/>
          <w:szCs w:val="32"/>
          <w:lang w:eastAsia="zh-CN"/>
        </w:rPr>
        <w:t>建立有效联动机制，</w:t>
      </w:r>
      <w:r>
        <w:rPr>
          <w:rFonts w:hint="eastAsia" w:ascii="仿宋_GB2312" w:hAnsi="Arial" w:eastAsia="仿宋_GB2312" w:cs="Arial"/>
          <w:b/>
          <w:color w:val="auto"/>
          <w:sz w:val="32"/>
          <w:szCs w:val="32"/>
        </w:rPr>
        <w:t>充分发挥职业学校培训优势。</w:t>
      </w:r>
      <w:r>
        <w:rPr>
          <w:rFonts w:hint="eastAsia" w:ascii="仿宋_GB2312" w:hAnsi="Arial" w:eastAsia="仿宋_GB2312" w:cs="Arial"/>
          <w:color w:val="auto"/>
          <w:sz w:val="32"/>
          <w:szCs w:val="32"/>
        </w:rPr>
        <w:t>落实职业院校学历教育与职业培训并举的法定职责，发挥职业技能培训保稳定、保就业的重要作用。</w:t>
      </w:r>
      <w:r>
        <w:rPr>
          <w:rFonts w:hint="eastAsia" w:ascii="仿宋_GB2312" w:hAnsi="Arial" w:eastAsia="仿宋_GB2312" w:cs="Arial"/>
          <w:color w:val="auto"/>
          <w:sz w:val="32"/>
          <w:szCs w:val="32"/>
          <w:lang w:eastAsia="zh-CN"/>
        </w:rPr>
        <w:t>推动建立教育行政部门、人社部门、财政部门及职业院校的沟通联动机制，确保信息通畅，紧密合作，协同推进。各职业院校要根据人社部门发布的培训基地和评价组织标准，结合专业优势，对接产业发展、就业需求，按照培训项目标准，完善职业培训课程体系，积极开展给予产教融合的培训课程与教学资源建设，升级改造实训设施设备，打造基于产教融合的培训师资队伍。</w:t>
      </w:r>
      <w:r>
        <w:rPr>
          <w:rFonts w:hint="eastAsia" w:ascii="仿宋_GB2312" w:hAnsi="Arial" w:eastAsia="仿宋_GB2312" w:cs="Arial"/>
          <w:color w:val="auto"/>
          <w:sz w:val="32"/>
          <w:szCs w:val="32"/>
        </w:rPr>
        <w:t>充分发挥职业学校培训资源优势，按规定承担补贴性培训任务</w:t>
      </w:r>
      <w:r>
        <w:rPr>
          <w:rFonts w:hint="eastAsia" w:ascii="仿宋_GB2312" w:hAnsi="Arial" w:eastAsia="仿宋_GB2312" w:cs="Arial"/>
          <w:color w:val="auto"/>
          <w:sz w:val="32"/>
          <w:szCs w:val="32"/>
          <w:lang w:eastAsia="zh-CN"/>
        </w:rPr>
        <w:t>，</w:t>
      </w:r>
      <w:r>
        <w:rPr>
          <w:rFonts w:hint="eastAsia" w:ascii="仿宋_GB2312" w:hAnsi="Arial" w:eastAsia="仿宋_GB2312" w:cs="Arial"/>
          <w:color w:val="auto"/>
          <w:sz w:val="32"/>
          <w:szCs w:val="32"/>
        </w:rPr>
        <w:t>满足</w:t>
      </w:r>
      <w:r>
        <w:rPr>
          <w:rFonts w:hint="eastAsia" w:ascii="仿宋_GB2312" w:hAnsi="Arial" w:eastAsia="仿宋_GB2312" w:cs="Arial"/>
          <w:color w:val="auto"/>
          <w:sz w:val="32"/>
          <w:szCs w:val="32"/>
          <w:lang w:eastAsia="zh-CN"/>
        </w:rPr>
        <w:t>各类群体不同</w:t>
      </w:r>
      <w:bookmarkStart w:id="0" w:name="_GoBack"/>
      <w:bookmarkEnd w:id="0"/>
      <w:r>
        <w:rPr>
          <w:rFonts w:hint="eastAsia" w:ascii="仿宋_GB2312" w:hAnsi="Arial" w:eastAsia="仿宋_GB2312" w:cs="Arial"/>
          <w:color w:val="auto"/>
          <w:sz w:val="32"/>
          <w:szCs w:val="32"/>
        </w:rPr>
        <w:t>培训需求</w:t>
      </w:r>
      <w:r>
        <w:rPr>
          <w:rFonts w:hint="eastAsia" w:ascii="仿宋_GB2312" w:hAnsi="Arial" w:eastAsia="仿宋_GB2312" w:cs="Arial"/>
          <w:color w:val="auto"/>
          <w:sz w:val="32"/>
          <w:szCs w:val="32"/>
          <w:lang w:eastAsia="zh-CN"/>
        </w:rPr>
        <w:t>。</w:t>
      </w:r>
    </w:p>
    <w:p>
      <w:pPr>
        <w:spacing w:line="620" w:lineRule="exact"/>
        <w:ind w:firstLine="642" w:firstLineChars="200"/>
        <w:jc w:val="both"/>
        <w:rPr>
          <w:rFonts w:ascii="仿宋_GB2312" w:eastAsia="仿宋_GB2312"/>
          <w:color w:val="auto"/>
          <w:sz w:val="32"/>
          <w:szCs w:val="32"/>
        </w:rPr>
      </w:pPr>
      <w:r>
        <w:rPr>
          <w:rFonts w:hint="eastAsia" w:ascii="仿宋_GB2312" w:eastAsia="仿宋_GB2312"/>
          <w:b/>
          <w:color w:val="auto"/>
          <w:sz w:val="32"/>
          <w:szCs w:val="32"/>
        </w:rPr>
        <w:t>（十）利用信息技术手段，有效整合职业教育教学资源。</w:t>
      </w:r>
      <w:r>
        <w:rPr>
          <w:rFonts w:hint="eastAsia" w:ascii="仿宋_GB2312" w:hAnsi="Arial" w:eastAsia="仿宋_GB2312" w:cs="Arial"/>
          <w:color w:val="auto"/>
          <w:sz w:val="32"/>
          <w:szCs w:val="32"/>
        </w:rPr>
        <w:t>推动信息技术与教育教学深度融合，进一步提高职业院校办学水平，重点建设3所省级优质中职学校。围绕重点产业发展需求建设2个专业（群）协助体，推动相关专业建设水平整体提升。</w:t>
      </w:r>
      <w:r>
        <w:rPr>
          <w:rFonts w:hint="eastAsia" w:ascii="仿宋_GB2312" w:eastAsia="仿宋_GB2312"/>
          <w:color w:val="auto"/>
          <w:sz w:val="32"/>
          <w:szCs w:val="32"/>
        </w:rPr>
        <w:t>利用信息技术手段，整合职业院校与企业实训资源，组建开放共享的、满足实习实训需求的虚拟仿真实训基地。探索搭建职业教育在线学习平台，推动线上线下混合式教育教学改革，建设10门省级精品在线开放课程。</w:t>
      </w:r>
    </w:p>
    <w:p>
      <w:pPr>
        <w:spacing w:line="62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rPr>
        <w:t>四、保障措施</w:t>
      </w:r>
    </w:p>
    <w:p>
      <w:pPr>
        <w:spacing w:line="620" w:lineRule="exact"/>
        <w:ind w:firstLine="642" w:firstLineChars="200"/>
        <w:jc w:val="both"/>
        <w:rPr>
          <w:rFonts w:ascii="仿宋_GB2312" w:eastAsia="仿宋_GB2312"/>
          <w:color w:val="auto"/>
          <w:sz w:val="32"/>
          <w:szCs w:val="32"/>
        </w:rPr>
      </w:pPr>
      <w:r>
        <w:rPr>
          <w:rFonts w:hint="eastAsia" w:ascii="仿宋_GB2312" w:eastAsia="仿宋_GB2312"/>
          <w:b/>
          <w:bCs/>
          <w:color w:val="auto"/>
          <w:sz w:val="32"/>
          <w:szCs w:val="32"/>
        </w:rPr>
        <w:t>（一）</w:t>
      </w:r>
      <w:r>
        <w:rPr>
          <w:rFonts w:hint="eastAsia" w:ascii="仿宋_GB2312" w:hAnsi="仿宋" w:eastAsia="仿宋_GB2312" w:cs="Arial"/>
          <w:b/>
          <w:color w:val="auto"/>
          <w:kern w:val="0"/>
          <w:sz w:val="32"/>
          <w:szCs w:val="32"/>
        </w:rPr>
        <w:t>建立政策激励机制。</w:t>
      </w:r>
      <w:r>
        <w:rPr>
          <w:rFonts w:hint="eastAsia" w:ascii="仿宋_GB2312" w:hAnsi="仿宋" w:eastAsia="仿宋_GB2312"/>
          <w:color w:val="auto"/>
          <w:sz w:val="32"/>
          <w:szCs w:val="32"/>
        </w:rPr>
        <w:t>全面依法落实职业院校自主权，不断激发职业教育办学活力和吸引力。职业院校开展职业培训、技术创新、就业创业和社会服务等收益纳入学校教育事业收入，可按一定比例作为绩效工资分配。允许职业院校探索自主经营、市场运作、独立核算的实训基地运营模式。鼓励职业院校依托生产性实训资源，单独举办或“引企入校”合作举办以满足专业教学为主要目的的校内教学工厂，并按照国家有关规定享受税收等优惠。</w:t>
      </w:r>
    </w:p>
    <w:p>
      <w:pPr>
        <w:spacing w:line="620" w:lineRule="exact"/>
        <w:ind w:firstLine="642" w:firstLineChars="200"/>
        <w:jc w:val="both"/>
        <w:rPr>
          <w:rFonts w:ascii="仿宋_GB2312" w:eastAsia="仿宋_GB2312"/>
          <w:color w:val="auto"/>
          <w:sz w:val="32"/>
          <w:szCs w:val="32"/>
        </w:rPr>
      </w:pPr>
      <w:r>
        <w:rPr>
          <w:rFonts w:hint="eastAsia" w:ascii="仿宋_GB2312" w:eastAsia="仿宋_GB2312"/>
          <w:b/>
          <w:bCs/>
          <w:color w:val="auto"/>
          <w:sz w:val="32"/>
          <w:szCs w:val="32"/>
          <w:lang w:eastAsia="zh-CN"/>
        </w:rPr>
        <w:t>（二）</w:t>
      </w:r>
      <w:r>
        <w:rPr>
          <w:rFonts w:hint="eastAsia" w:ascii="仿宋_GB2312" w:eastAsia="仿宋_GB2312"/>
          <w:b/>
          <w:color w:val="auto"/>
          <w:sz w:val="32"/>
          <w:szCs w:val="32"/>
        </w:rPr>
        <w:t>保障经费长效稳定投入。</w:t>
      </w:r>
      <w:r>
        <w:rPr>
          <w:rFonts w:hint="eastAsia" w:ascii="仿宋_GB2312" w:hAnsi="仿宋" w:eastAsia="仿宋_GB2312"/>
          <w:color w:val="auto"/>
          <w:sz w:val="32"/>
          <w:szCs w:val="32"/>
        </w:rPr>
        <w:t>建立与职业学校办学规模、培养成本、办学质量相适应的财政经费稳步增长与保障机制，新增教育经费要向职业教育倾斜，建立健全投入绩效管理机制，推动建立职业教育经费全方位、全过程的绩效预算管理体系，提高资金使用效益。完善成本分摊机制，建立学费标准动态调整机制。组织实施好现代职业教育质量提升计划、产教融合工程，加强市级配套资金投入。增加职业院校助学金覆盖面，完善补助标准动态调整机制，健全职业教育奖学金制度。进一步落实市级教育费附加30%用于职业教育发展的政策。</w:t>
      </w:r>
      <w:r>
        <w:rPr>
          <w:rFonts w:hint="eastAsia" w:ascii="仿宋_GB2312" w:eastAsia="仿宋_GB2312"/>
          <w:color w:val="auto"/>
          <w:sz w:val="32"/>
          <w:szCs w:val="32"/>
        </w:rPr>
        <w:t>整体提升职业院校基本办学条件水平，推动我市职业学校全部达到国家设置标准。</w:t>
      </w:r>
    </w:p>
    <w:p>
      <w:pPr>
        <w:spacing w:line="620" w:lineRule="exact"/>
        <w:ind w:firstLine="642" w:firstLineChars="200"/>
        <w:jc w:val="both"/>
        <w:rPr>
          <w:rFonts w:ascii="仿宋_GB2312" w:eastAsia="仿宋_GB2312"/>
          <w:color w:val="auto"/>
          <w:sz w:val="32"/>
          <w:szCs w:val="32"/>
        </w:rPr>
      </w:pPr>
      <w:r>
        <w:rPr>
          <w:rFonts w:hint="eastAsia" w:ascii="仿宋_GB2312" w:hAnsi="仿宋" w:eastAsia="仿宋_GB2312" w:cs="Arial"/>
          <w:b/>
          <w:bCs/>
          <w:color w:val="auto"/>
          <w:kern w:val="0"/>
          <w:sz w:val="32"/>
          <w:szCs w:val="32"/>
        </w:rPr>
        <w:t>（三）</w:t>
      </w:r>
      <w:r>
        <w:rPr>
          <w:rFonts w:hint="eastAsia" w:ascii="仿宋_GB2312" w:hAnsi="仿宋" w:eastAsia="仿宋_GB2312" w:cs="Arial"/>
          <w:b/>
          <w:color w:val="auto"/>
          <w:kern w:val="0"/>
          <w:sz w:val="32"/>
          <w:szCs w:val="32"/>
        </w:rPr>
        <w:t>建立健全职业教育质量评价和督导评估制度。</w:t>
      </w:r>
      <w:r>
        <w:rPr>
          <w:rFonts w:hint="eastAsia" w:ascii="仿宋_GB2312" w:hAnsi="仿宋" w:eastAsia="仿宋_GB2312"/>
          <w:color w:val="auto"/>
          <w:sz w:val="32"/>
          <w:szCs w:val="32"/>
        </w:rPr>
        <w:t>建立市级职业教育质量评价体系，定期对职业教育质量、培训评价组织行为和职业院校培训质量进行监测评估。完善政府、行业、企业、职业院校等共同参与的质量评价机制，积极支持第三方机构开展评估，将考核结果作为政策支持、绩效考核、表彰奖励的重要依据。完善职业教育督导评估办法，落实督导报告、公报、约谈、限期整改、奖惩等制度。</w:t>
      </w:r>
    </w:p>
    <w:p>
      <w:pPr>
        <w:spacing w:line="62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附件：丹东市推进职业教育实用高效发展工作任务</w:t>
      </w:r>
    </w:p>
    <w:p>
      <w:pPr>
        <w:spacing w:line="620" w:lineRule="exact"/>
        <w:ind w:firstLine="4800" w:firstLineChars="1500"/>
        <w:jc w:val="both"/>
        <w:rPr>
          <w:rFonts w:ascii="仿宋_GB2312" w:eastAsia="仿宋_GB2312"/>
          <w:sz w:val="32"/>
          <w:szCs w:val="32"/>
        </w:rPr>
      </w:pPr>
    </w:p>
    <w:p>
      <w:pPr>
        <w:jc w:val="both"/>
        <w:rPr>
          <w:rFonts w:ascii="仿宋_GB2312" w:eastAsia="仿宋_GB2312"/>
          <w:sz w:val="32"/>
          <w:szCs w:val="32"/>
        </w:rPr>
      </w:pPr>
    </w:p>
    <w:p>
      <w:pPr>
        <w:jc w:val="both"/>
        <w:rPr>
          <w:rFonts w:ascii="仿宋_GB2312" w:eastAsia="仿宋_GB2312"/>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pPr>
        <w:jc w:val="both"/>
        <w:rPr>
          <w:rFonts w:ascii="黑体" w:hAnsi="黑体" w:eastAsia="黑体"/>
          <w:sz w:val="32"/>
          <w:szCs w:val="32"/>
        </w:rPr>
      </w:pPr>
      <w:r>
        <w:rPr>
          <w:rFonts w:hint="eastAsia" w:ascii="黑体" w:hAnsi="黑体" w:eastAsia="黑体"/>
          <w:sz w:val="32"/>
          <w:szCs w:val="32"/>
        </w:rPr>
        <w:t>附件</w:t>
      </w:r>
    </w:p>
    <w:p>
      <w:pPr>
        <w:jc w:val="both"/>
        <w:rPr>
          <w:rFonts w:ascii="华文中宋" w:hAnsi="华文中宋" w:eastAsia="华文中宋"/>
          <w:b/>
          <w:sz w:val="44"/>
          <w:szCs w:val="44"/>
        </w:rPr>
      </w:pPr>
      <w:r>
        <w:rPr>
          <w:rFonts w:hint="eastAsia"/>
          <w:szCs w:val="32"/>
        </w:rPr>
        <w:t xml:space="preserve"> </w:t>
      </w:r>
      <w:r>
        <w:rPr>
          <w:rFonts w:hint="eastAsia"/>
          <w:sz w:val="32"/>
          <w:szCs w:val="32"/>
        </w:rPr>
        <w:t xml:space="preserve">               </w:t>
      </w:r>
      <w:r>
        <w:rPr>
          <w:rFonts w:hint="eastAsia" w:ascii="华文中宋" w:hAnsi="华文中宋" w:eastAsia="华文中宋"/>
          <w:sz w:val="32"/>
          <w:szCs w:val="32"/>
        </w:rPr>
        <w:t xml:space="preserve">  </w:t>
      </w:r>
      <w:r>
        <w:rPr>
          <w:rFonts w:hint="eastAsia" w:ascii="华文中宋" w:hAnsi="华文中宋" w:eastAsia="华文中宋"/>
          <w:b/>
          <w:sz w:val="32"/>
          <w:szCs w:val="32"/>
        </w:rPr>
        <w:t xml:space="preserve"> </w:t>
      </w:r>
      <w:r>
        <w:rPr>
          <w:rFonts w:hint="eastAsia" w:ascii="华文中宋" w:hAnsi="华文中宋" w:eastAsia="华文中宋"/>
          <w:b/>
          <w:sz w:val="44"/>
          <w:szCs w:val="44"/>
        </w:rPr>
        <w:t>丹东市推进职业教育实用高效发展工作任务</w:t>
      </w:r>
    </w:p>
    <w:p>
      <w:pPr>
        <w:jc w:val="both"/>
        <w:rPr>
          <w:b/>
          <w:sz w:val="24"/>
          <w:szCs w:val="24"/>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9639"/>
        <w:gridCol w:w="35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b/>
                <w:sz w:val="28"/>
                <w:szCs w:val="28"/>
              </w:rPr>
            </w:pPr>
            <w:r>
              <w:rPr>
                <w:rFonts w:hint="eastAsia"/>
                <w:b/>
                <w:sz w:val="28"/>
                <w:szCs w:val="28"/>
              </w:rPr>
              <w:t>序号</w:t>
            </w:r>
          </w:p>
        </w:tc>
        <w:tc>
          <w:tcPr>
            <w:tcW w:w="9639" w:type="dxa"/>
            <w:vAlign w:val="center"/>
          </w:tcPr>
          <w:p>
            <w:pPr>
              <w:jc w:val="center"/>
              <w:rPr>
                <w:b/>
                <w:sz w:val="28"/>
                <w:szCs w:val="28"/>
              </w:rPr>
            </w:pPr>
            <w:r>
              <w:rPr>
                <w:rFonts w:hint="eastAsia"/>
                <w:b/>
                <w:sz w:val="28"/>
                <w:szCs w:val="28"/>
              </w:rPr>
              <w:t>工 作 任 务</w:t>
            </w:r>
          </w:p>
        </w:tc>
        <w:tc>
          <w:tcPr>
            <w:tcW w:w="3576" w:type="dxa"/>
            <w:vAlign w:val="center"/>
          </w:tcPr>
          <w:p>
            <w:pPr>
              <w:jc w:val="center"/>
              <w:rPr>
                <w:b/>
                <w:sz w:val="28"/>
                <w:szCs w:val="28"/>
              </w:rPr>
            </w:pPr>
            <w:r>
              <w:rPr>
                <w:rFonts w:hint="eastAsia"/>
                <w:b/>
                <w:sz w:val="28"/>
                <w:szCs w:val="28"/>
              </w:rPr>
              <w:t>责任部门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trPr>
        <w:tc>
          <w:tcPr>
            <w:tcW w:w="959" w:type="dxa"/>
            <w:vAlign w:val="center"/>
          </w:tcPr>
          <w:p>
            <w:pPr>
              <w:spacing w:line="300" w:lineRule="exact"/>
              <w:jc w:val="center"/>
              <w:rPr>
                <w:rFonts w:asciiTheme="minorEastAsia" w:hAnsiTheme="minorEastAsia"/>
                <w:sz w:val="24"/>
                <w:szCs w:val="24"/>
              </w:rPr>
            </w:pPr>
            <w:r>
              <w:rPr>
                <w:rFonts w:hint="eastAsia" w:asciiTheme="minorEastAsia" w:hAnsiTheme="minorEastAsia"/>
                <w:sz w:val="24"/>
                <w:szCs w:val="24"/>
              </w:rPr>
              <w:t>1</w:t>
            </w:r>
          </w:p>
        </w:tc>
        <w:tc>
          <w:tcPr>
            <w:tcW w:w="9639" w:type="dxa"/>
            <w:vAlign w:val="center"/>
          </w:tcPr>
          <w:p>
            <w:pPr>
              <w:spacing w:line="300" w:lineRule="exact"/>
              <w:jc w:val="both"/>
              <w:rPr>
                <w:rFonts w:asciiTheme="minorEastAsia" w:hAnsiTheme="minorEastAsia"/>
                <w:b/>
                <w:sz w:val="24"/>
                <w:szCs w:val="24"/>
              </w:rPr>
            </w:pPr>
            <w:r>
              <w:rPr>
                <w:rFonts w:hint="eastAsia" w:cs="Arial" w:asciiTheme="minorEastAsia" w:hAnsiTheme="minorEastAsia"/>
                <w:sz w:val="24"/>
                <w:szCs w:val="24"/>
              </w:rPr>
              <w:t xml:space="preserve">采取专兼职结合方式为职业学校班子配备1名具有5年以上行业企业工作经历的高层次技术管理人才 </w:t>
            </w:r>
          </w:p>
        </w:tc>
        <w:tc>
          <w:tcPr>
            <w:tcW w:w="3576" w:type="dxa"/>
            <w:vAlign w:val="center"/>
          </w:tcPr>
          <w:p>
            <w:pPr>
              <w:spacing w:line="300" w:lineRule="exact"/>
              <w:jc w:val="center"/>
              <w:rPr>
                <w:rFonts w:asciiTheme="minorEastAsia" w:hAnsiTheme="minorEastAsia"/>
                <w:sz w:val="24"/>
                <w:szCs w:val="24"/>
              </w:rPr>
            </w:pPr>
            <w:r>
              <w:rPr>
                <w:rFonts w:hint="eastAsia" w:asciiTheme="minorEastAsia" w:hAnsiTheme="minorEastAsia"/>
                <w:sz w:val="24"/>
                <w:szCs w:val="24"/>
              </w:rPr>
              <w:t>市委教育工委、市教育局</w:t>
            </w:r>
          </w:p>
          <w:p>
            <w:pPr>
              <w:spacing w:line="300" w:lineRule="exact"/>
              <w:jc w:val="center"/>
              <w:rPr>
                <w:rFonts w:asciiTheme="minorEastAsia" w:hAnsiTheme="minorEastAsia"/>
                <w:sz w:val="24"/>
                <w:szCs w:val="24"/>
              </w:rPr>
            </w:pPr>
            <w:r>
              <w:rPr>
                <w:rFonts w:hint="eastAsia" w:asciiTheme="minorEastAsia" w:hAnsiTheme="minorEastAsia"/>
                <w:sz w:val="24"/>
                <w:szCs w:val="24"/>
              </w:rPr>
              <w:t>各县（市）政府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300" w:lineRule="exact"/>
              <w:jc w:val="center"/>
              <w:rPr>
                <w:rFonts w:asciiTheme="minorEastAsia" w:hAnsiTheme="minorEastAsia"/>
                <w:sz w:val="24"/>
                <w:szCs w:val="24"/>
              </w:rPr>
            </w:pPr>
            <w:r>
              <w:rPr>
                <w:rFonts w:hint="eastAsia" w:asciiTheme="minorEastAsia" w:hAnsiTheme="minorEastAsia"/>
                <w:sz w:val="24"/>
                <w:szCs w:val="24"/>
              </w:rPr>
              <w:t>2</w:t>
            </w:r>
          </w:p>
        </w:tc>
        <w:tc>
          <w:tcPr>
            <w:tcW w:w="9639" w:type="dxa"/>
            <w:vAlign w:val="center"/>
          </w:tcPr>
          <w:p>
            <w:pPr>
              <w:spacing w:line="300" w:lineRule="exact"/>
              <w:jc w:val="both"/>
              <w:rPr>
                <w:rFonts w:asciiTheme="minorEastAsia" w:hAnsiTheme="minorEastAsia"/>
                <w:b/>
                <w:sz w:val="24"/>
                <w:szCs w:val="24"/>
              </w:rPr>
            </w:pPr>
            <w:r>
              <w:rPr>
                <w:rFonts w:hint="eastAsia" w:cs="Arial" w:asciiTheme="minorEastAsia" w:hAnsiTheme="minorEastAsia"/>
                <w:sz w:val="24"/>
                <w:szCs w:val="24"/>
              </w:rPr>
              <w:t>建设2个省级思想政治课示范课堂、5个省级具有职业教育特点的课程思政教育案例</w:t>
            </w:r>
          </w:p>
        </w:tc>
        <w:tc>
          <w:tcPr>
            <w:tcW w:w="3576" w:type="dxa"/>
            <w:vAlign w:val="center"/>
          </w:tcPr>
          <w:p>
            <w:pPr>
              <w:spacing w:line="300" w:lineRule="exact"/>
              <w:jc w:val="center"/>
              <w:rPr>
                <w:rFonts w:asciiTheme="minorEastAsia" w:hAnsiTheme="minorEastAsia"/>
                <w:sz w:val="24"/>
                <w:szCs w:val="24"/>
              </w:rPr>
            </w:pPr>
            <w:r>
              <w:rPr>
                <w:rFonts w:hint="eastAsia" w:asciiTheme="minorEastAsia" w:hAnsiTheme="minorEastAsia"/>
                <w:sz w:val="24"/>
                <w:szCs w:val="24"/>
              </w:rPr>
              <w:t>市委教育工委、市教育局</w:t>
            </w:r>
          </w:p>
          <w:p>
            <w:pPr>
              <w:spacing w:line="300" w:lineRule="exact"/>
              <w:jc w:val="center"/>
              <w:rPr>
                <w:rFonts w:asciiTheme="minorEastAsia" w:hAnsiTheme="minorEastAsia"/>
                <w:sz w:val="24"/>
                <w:szCs w:val="24"/>
              </w:rPr>
            </w:pPr>
            <w:r>
              <w:rPr>
                <w:rFonts w:hint="eastAsia" w:asciiTheme="minorEastAsia" w:hAnsiTheme="minorEastAsia"/>
                <w:sz w:val="24"/>
                <w:szCs w:val="24"/>
              </w:rPr>
              <w:t>各县（市）政府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5" w:hRule="atLeast"/>
        </w:trPr>
        <w:tc>
          <w:tcPr>
            <w:tcW w:w="959" w:type="dxa"/>
            <w:vAlign w:val="center"/>
          </w:tcPr>
          <w:p>
            <w:pPr>
              <w:spacing w:line="300" w:lineRule="exact"/>
              <w:jc w:val="center"/>
              <w:rPr>
                <w:rFonts w:asciiTheme="minorEastAsia" w:hAnsiTheme="minorEastAsia"/>
                <w:sz w:val="24"/>
                <w:szCs w:val="24"/>
              </w:rPr>
            </w:pPr>
            <w:r>
              <w:rPr>
                <w:rFonts w:hint="eastAsia" w:asciiTheme="minorEastAsia" w:hAnsiTheme="minorEastAsia"/>
                <w:sz w:val="24"/>
                <w:szCs w:val="24"/>
              </w:rPr>
              <w:t>3</w:t>
            </w:r>
          </w:p>
        </w:tc>
        <w:tc>
          <w:tcPr>
            <w:tcW w:w="9639" w:type="dxa"/>
            <w:vAlign w:val="center"/>
          </w:tcPr>
          <w:p>
            <w:pPr>
              <w:spacing w:line="300" w:lineRule="exact"/>
              <w:jc w:val="both"/>
              <w:rPr>
                <w:rFonts w:cs="仿宋" w:asciiTheme="minorEastAsia" w:hAnsiTheme="minorEastAsia"/>
                <w:sz w:val="24"/>
                <w:szCs w:val="24"/>
              </w:rPr>
            </w:pPr>
            <w:r>
              <w:rPr>
                <w:rFonts w:hint="eastAsia" w:cs="仿宋" w:asciiTheme="minorEastAsia" w:hAnsiTheme="minorEastAsia"/>
                <w:sz w:val="24"/>
                <w:szCs w:val="24"/>
              </w:rPr>
              <w:t>对接丹东重点发展产业，优化职业学校专业布局</w:t>
            </w:r>
          </w:p>
        </w:tc>
        <w:tc>
          <w:tcPr>
            <w:tcW w:w="3576" w:type="dxa"/>
            <w:vAlign w:val="center"/>
          </w:tcPr>
          <w:p>
            <w:pPr>
              <w:spacing w:line="300" w:lineRule="exact"/>
              <w:jc w:val="center"/>
              <w:rPr>
                <w:rFonts w:asciiTheme="minorEastAsia" w:hAnsiTheme="minorEastAsia"/>
                <w:sz w:val="24"/>
                <w:szCs w:val="24"/>
              </w:rPr>
            </w:pPr>
            <w:r>
              <w:rPr>
                <w:rFonts w:hint="eastAsia" w:asciiTheme="minorEastAsia" w:hAnsiTheme="minorEastAsia"/>
                <w:sz w:val="24"/>
                <w:szCs w:val="24"/>
              </w:rPr>
              <w:t>市教育局、各县（市）政府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3" w:hRule="atLeast"/>
        </w:trPr>
        <w:tc>
          <w:tcPr>
            <w:tcW w:w="959" w:type="dxa"/>
            <w:vAlign w:val="center"/>
          </w:tcPr>
          <w:p>
            <w:pPr>
              <w:spacing w:line="300" w:lineRule="exact"/>
              <w:jc w:val="center"/>
              <w:rPr>
                <w:rFonts w:asciiTheme="minorEastAsia" w:hAnsiTheme="minorEastAsia"/>
                <w:sz w:val="24"/>
                <w:szCs w:val="24"/>
              </w:rPr>
            </w:pPr>
            <w:r>
              <w:rPr>
                <w:rFonts w:hint="eastAsia" w:asciiTheme="minorEastAsia" w:hAnsiTheme="minorEastAsia"/>
                <w:sz w:val="24"/>
                <w:szCs w:val="24"/>
              </w:rPr>
              <w:t>4</w:t>
            </w:r>
          </w:p>
        </w:tc>
        <w:tc>
          <w:tcPr>
            <w:tcW w:w="9639" w:type="dxa"/>
            <w:vAlign w:val="center"/>
          </w:tcPr>
          <w:p>
            <w:pPr>
              <w:spacing w:line="300" w:lineRule="exact"/>
              <w:jc w:val="both"/>
              <w:rPr>
                <w:rFonts w:asciiTheme="minorEastAsia" w:hAnsiTheme="minorEastAsia"/>
                <w:b/>
                <w:sz w:val="24"/>
                <w:szCs w:val="24"/>
              </w:rPr>
            </w:pPr>
            <w:r>
              <w:rPr>
                <w:rFonts w:hint="eastAsia" w:cs="Arial" w:asciiTheme="minorEastAsia" w:hAnsiTheme="minorEastAsia"/>
                <w:sz w:val="24"/>
                <w:szCs w:val="24"/>
              </w:rPr>
              <w:t>重点培育2个省级高水平特色专业（群）</w:t>
            </w:r>
          </w:p>
        </w:tc>
        <w:tc>
          <w:tcPr>
            <w:tcW w:w="3576" w:type="dxa"/>
            <w:vAlign w:val="center"/>
          </w:tcPr>
          <w:p>
            <w:pPr>
              <w:spacing w:line="300" w:lineRule="exact"/>
              <w:jc w:val="center"/>
              <w:rPr>
                <w:rFonts w:asciiTheme="minorEastAsia" w:hAnsiTheme="minorEastAsia"/>
                <w:sz w:val="24"/>
                <w:szCs w:val="24"/>
              </w:rPr>
            </w:pPr>
            <w:r>
              <w:rPr>
                <w:rFonts w:hint="eastAsia" w:asciiTheme="minorEastAsia" w:hAnsiTheme="minorEastAsia"/>
                <w:sz w:val="24"/>
                <w:szCs w:val="24"/>
              </w:rPr>
              <w:t>市教育局、各县（市）政府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8" w:hRule="atLeast"/>
        </w:trPr>
        <w:tc>
          <w:tcPr>
            <w:tcW w:w="959" w:type="dxa"/>
            <w:vAlign w:val="center"/>
          </w:tcPr>
          <w:p>
            <w:pPr>
              <w:spacing w:line="300" w:lineRule="exact"/>
              <w:jc w:val="center"/>
              <w:rPr>
                <w:rFonts w:asciiTheme="minorEastAsia" w:hAnsiTheme="minorEastAsia"/>
                <w:sz w:val="24"/>
                <w:szCs w:val="24"/>
              </w:rPr>
            </w:pPr>
            <w:r>
              <w:rPr>
                <w:rFonts w:hint="eastAsia" w:asciiTheme="minorEastAsia" w:hAnsiTheme="minorEastAsia"/>
                <w:sz w:val="24"/>
                <w:szCs w:val="24"/>
              </w:rPr>
              <w:t>5</w:t>
            </w:r>
          </w:p>
        </w:tc>
        <w:tc>
          <w:tcPr>
            <w:tcW w:w="9639" w:type="dxa"/>
            <w:vAlign w:val="center"/>
          </w:tcPr>
          <w:p>
            <w:pPr>
              <w:spacing w:line="300" w:lineRule="exact"/>
              <w:jc w:val="both"/>
              <w:rPr>
                <w:rFonts w:asciiTheme="minorEastAsia" w:hAnsiTheme="minorEastAsia"/>
                <w:sz w:val="24"/>
                <w:szCs w:val="24"/>
              </w:rPr>
            </w:pPr>
            <w:r>
              <w:rPr>
                <w:rFonts w:hint="eastAsia" w:cs="Arial" w:asciiTheme="minorEastAsia" w:hAnsiTheme="minorEastAsia"/>
                <w:color w:val="191919"/>
                <w:sz w:val="24"/>
                <w:szCs w:val="24"/>
              </w:rPr>
              <w:t>全面落实《辽宁省职业技能提升行动实施方案（2019-2021）》，组织开展职业技能提升行动，按规定承担补贴性培训任务</w:t>
            </w:r>
          </w:p>
        </w:tc>
        <w:tc>
          <w:tcPr>
            <w:tcW w:w="3576" w:type="dxa"/>
            <w:vAlign w:val="center"/>
          </w:tcPr>
          <w:p>
            <w:pPr>
              <w:spacing w:line="300" w:lineRule="exact"/>
              <w:jc w:val="center"/>
              <w:rPr>
                <w:rFonts w:asciiTheme="minorEastAsia" w:hAnsiTheme="minorEastAsia"/>
                <w:sz w:val="24"/>
                <w:szCs w:val="24"/>
              </w:rPr>
            </w:pPr>
            <w:r>
              <w:rPr>
                <w:rFonts w:hint="eastAsia" w:asciiTheme="minorEastAsia" w:hAnsiTheme="minorEastAsia"/>
                <w:sz w:val="24"/>
                <w:szCs w:val="24"/>
              </w:rPr>
              <w:t>市人社局、市教育局</w:t>
            </w:r>
          </w:p>
          <w:p>
            <w:pPr>
              <w:spacing w:line="300" w:lineRule="exact"/>
              <w:jc w:val="center"/>
              <w:rPr>
                <w:rFonts w:asciiTheme="minorEastAsia" w:hAnsiTheme="minorEastAsia"/>
                <w:sz w:val="24"/>
                <w:szCs w:val="24"/>
              </w:rPr>
            </w:pPr>
            <w:r>
              <w:rPr>
                <w:rFonts w:hint="eastAsia" w:asciiTheme="minorEastAsia" w:hAnsiTheme="minorEastAsia"/>
                <w:sz w:val="24"/>
                <w:szCs w:val="24"/>
              </w:rPr>
              <w:t>各县（市）政府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300" w:lineRule="exact"/>
              <w:jc w:val="center"/>
              <w:rPr>
                <w:rFonts w:asciiTheme="minorEastAsia" w:hAnsiTheme="minorEastAsia"/>
                <w:sz w:val="24"/>
                <w:szCs w:val="24"/>
              </w:rPr>
            </w:pPr>
            <w:r>
              <w:rPr>
                <w:rFonts w:hint="eastAsia" w:asciiTheme="minorEastAsia" w:hAnsiTheme="minorEastAsia"/>
                <w:sz w:val="24"/>
                <w:szCs w:val="24"/>
              </w:rPr>
              <w:t>6</w:t>
            </w:r>
          </w:p>
        </w:tc>
        <w:tc>
          <w:tcPr>
            <w:tcW w:w="9639" w:type="dxa"/>
            <w:vAlign w:val="center"/>
          </w:tcPr>
          <w:p>
            <w:pPr>
              <w:spacing w:line="300" w:lineRule="exact"/>
              <w:jc w:val="both"/>
              <w:rPr>
                <w:rFonts w:cs="Arial" w:asciiTheme="minorEastAsia" w:hAnsiTheme="minorEastAsia"/>
                <w:color w:val="191919"/>
                <w:sz w:val="24"/>
                <w:szCs w:val="24"/>
              </w:rPr>
            </w:pPr>
            <w:r>
              <w:rPr>
                <w:rFonts w:hint="eastAsia" w:cs="Arial" w:asciiTheme="minorEastAsia" w:hAnsiTheme="minorEastAsia"/>
                <w:color w:val="191919"/>
                <w:sz w:val="24"/>
                <w:szCs w:val="24"/>
              </w:rPr>
              <w:t>完成9万人次左右职业技能培训</w:t>
            </w:r>
          </w:p>
        </w:tc>
        <w:tc>
          <w:tcPr>
            <w:tcW w:w="3576" w:type="dxa"/>
            <w:vAlign w:val="center"/>
          </w:tcPr>
          <w:p>
            <w:pPr>
              <w:spacing w:line="300" w:lineRule="exact"/>
              <w:jc w:val="center"/>
              <w:rPr>
                <w:rFonts w:asciiTheme="minorEastAsia" w:hAnsiTheme="minorEastAsia"/>
                <w:sz w:val="24"/>
                <w:szCs w:val="24"/>
              </w:rPr>
            </w:pPr>
            <w:r>
              <w:rPr>
                <w:rFonts w:hint="eastAsia" w:asciiTheme="minorEastAsia" w:hAnsiTheme="minorEastAsia"/>
                <w:sz w:val="24"/>
                <w:szCs w:val="24"/>
              </w:rPr>
              <w:t>市人社局、市教育局</w:t>
            </w:r>
          </w:p>
          <w:p>
            <w:pPr>
              <w:spacing w:line="300" w:lineRule="exact"/>
              <w:jc w:val="center"/>
              <w:rPr>
                <w:rFonts w:asciiTheme="minorEastAsia" w:hAnsiTheme="minorEastAsia"/>
                <w:sz w:val="24"/>
                <w:szCs w:val="24"/>
              </w:rPr>
            </w:pPr>
            <w:r>
              <w:rPr>
                <w:rFonts w:hint="eastAsia" w:asciiTheme="minorEastAsia" w:hAnsiTheme="minorEastAsia"/>
                <w:sz w:val="24"/>
                <w:szCs w:val="24"/>
              </w:rPr>
              <w:t>各县（市）政府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3" w:hRule="atLeast"/>
        </w:trPr>
        <w:tc>
          <w:tcPr>
            <w:tcW w:w="959" w:type="dxa"/>
            <w:vAlign w:val="center"/>
          </w:tcPr>
          <w:p>
            <w:pPr>
              <w:spacing w:line="300" w:lineRule="exact"/>
              <w:jc w:val="center"/>
              <w:rPr>
                <w:rFonts w:asciiTheme="minorEastAsia" w:hAnsiTheme="minorEastAsia"/>
                <w:sz w:val="24"/>
                <w:szCs w:val="24"/>
              </w:rPr>
            </w:pPr>
            <w:r>
              <w:rPr>
                <w:rFonts w:hint="eastAsia" w:asciiTheme="minorEastAsia" w:hAnsiTheme="minorEastAsia"/>
                <w:sz w:val="24"/>
                <w:szCs w:val="24"/>
              </w:rPr>
              <w:t>7</w:t>
            </w:r>
          </w:p>
        </w:tc>
        <w:tc>
          <w:tcPr>
            <w:tcW w:w="9639" w:type="dxa"/>
            <w:vAlign w:val="center"/>
          </w:tcPr>
          <w:p>
            <w:pPr>
              <w:spacing w:line="300" w:lineRule="exact"/>
              <w:jc w:val="both"/>
              <w:rPr>
                <w:rFonts w:asciiTheme="minorEastAsia" w:hAnsiTheme="minorEastAsia"/>
                <w:sz w:val="24"/>
                <w:szCs w:val="24"/>
              </w:rPr>
            </w:pPr>
            <w:r>
              <w:rPr>
                <w:rFonts w:hint="eastAsia" w:cs="Arial" w:asciiTheme="minorEastAsia" w:hAnsiTheme="minorEastAsia"/>
                <w:sz w:val="24"/>
                <w:szCs w:val="24"/>
              </w:rPr>
              <w:t>重点建设3所省级优质中职学校，2个省级高水平特色专业（群）</w:t>
            </w:r>
          </w:p>
        </w:tc>
        <w:tc>
          <w:tcPr>
            <w:tcW w:w="3576" w:type="dxa"/>
            <w:vAlign w:val="center"/>
          </w:tcPr>
          <w:p>
            <w:pPr>
              <w:spacing w:line="300" w:lineRule="exact"/>
              <w:jc w:val="center"/>
              <w:rPr>
                <w:rFonts w:asciiTheme="minorEastAsia" w:hAnsiTheme="minorEastAsia"/>
                <w:sz w:val="24"/>
                <w:szCs w:val="24"/>
              </w:rPr>
            </w:pPr>
            <w:r>
              <w:rPr>
                <w:rFonts w:hint="eastAsia" w:asciiTheme="minorEastAsia" w:hAnsiTheme="minorEastAsia"/>
                <w:sz w:val="24"/>
                <w:szCs w:val="24"/>
              </w:rPr>
              <w:t>市教育局、各县（市）政府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8" w:hRule="atLeast"/>
        </w:trPr>
        <w:tc>
          <w:tcPr>
            <w:tcW w:w="959" w:type="dxa"/>
            <w:vAlign w:val="center"/>
          </w:tcPr>
          <w:p>
            <w:pPr>
              <w:spacing w:line="300" w:lineRule="exact"/>
              <w:jc w:val="center"/>
              <w:rPr>
                <w:rFonts w:asciiTheme="minorEastAsia" w:hAnsiTheme="minorEastAsia"/>
                <w:sz w:val="24"/>
                <w:szCs w:val="24"/>
              </w:rPr>
            </w:pPr>
            <w:r>
              <w:rPr>
                <w:rFonts w:hint="eastAsia" w:asciiTheme="minorEastAsia" w:hAnsiTheme="minorEastAsia"/>
                <w:sz w:val="24"/>
                <w:szCs w:val="24"/>
              </w:rPr>
              <w:t>8</w:t>
            </w:r>
          </w:p>
        </w:tc>
        <w:tc>
          <w:tcPr>
            <w:tcW w:w="9639" w:type="dxa"/>
            <w:vAlign w:val="center"/>
          </w:tcPr>
          <w:p>
            <w:pPr>
              <w:spacing w:line="300" w:lineRule="exact"/>
              <w:jc w:val="both"/>
              <w:rPr>
                <w:rFonts w:asciiTheme="minorEastAsia" w:hAnsiTheme="minorEastAsia"/>
                <w:sz w:val="24"/>
                <w:szCs w:val="24"/>
              </w:rPr>
            </w:pPr>
            <w:r>
              <w:rPr>
                <w:rFonts w:hint="eastAsia" w:asciiTheme="minorEastAsia" w:hAnsiTheme="minorEastAsia"/>
                <w:sz w:val="24"/>
                <w:szCs w:val="24"/>
              </w:rPr>
              <w:t>开展职业学校服务百家企业工作，重点建设2个省级由企业参与的职业教育集团</w:t>
            </w:r>
          </w:p>
        </w:tc>
        <w:tc>
          <w:tcPr>
            <w:tcW w:w="3576" w:type="dxa"/>
            <w:vAlign w:val="center"/>
          </w:tcPr>
          <w:p>
            <w:pPr>
              <w:spacing w:line="300" w:lineRule="exact"/>
              <w:jc w:val="center"/>
              <w:rPr>
                <w:rFonts w:asciiTheme="minorEastAsia" w:hAnsiTheme="minorEastAsia"/>
                <w:sz w:val="24"/>
                <w:szCs w:val="24"/>
              </w:rPr>
            </w:pPr>
            <w:r>
              <w:rPr>
                <w:rFonts w:hint="eastAsia" w:asciiTheme="minorEastAsia" w:hAnsiTheme="minorEastAsia"/>
                <w:sz w:val="24"/>
                <w:szCs w:val="24"/>
              </w:rPr>
              <w:t>市教育局、市工信局</w:t>
            </w:r>
          </w:p>
          <w:p>
            <w:pPr>
              <w:spacing w:line="300" w:lineRule="exact"/>
              <w:jc w:val="center"/>
              <w:rPr>
                <w:rFonts w:asciiTheme="minorEastAsia" w:hAnsiTheme="minorEastAsia"/>
                <w:sz w:val="24"/>
                <w:szCs w:val="24"/>
              </w:rPr>
            </w:pPr>
            <w:r>
              <w:rPr>
                <w:rFonts w:hint="eastAsia" w:asciiTheme="minorEastAsia" w:hAnsiTheme="minorEastAsia"/>
                <w:sz w:val="24"/>
                <w:szCs w:val="24"/>
              </w:rPr>
              <w:t>各县（市）政府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3" w:hRule="atLeast"/>
        </w:trPr>
        <w:tc>
          <w:tcPr>
            <w:tcW w:w="959" w:type="dxa"/>
            <w:vAlign w:val="center"/>
          </w:tcPr>
          <w:p>
            <w:pPr>
              <w:spacing w:line="300" w:lineRule="exact"/>
              <w:jc w:val="center"/>
              <w:rPr>
                <w:rFonts w:asciiTheme="minorEastAsia" w:hAnsiTheme="minorEastAsia"/>
                <w:sz w:val="24"/>
                <w:szCs w:val="24"/>
              </w:rPr>
            </w:pPr>
            <w:r>
              <w:rPr>
                <w:rFonts w:hint="eastAsia" w:asciiTheme="minorEastAsia" w:hAnsiTheme="minorEastAsia"/>
                <w:sz w:val="24"/>
                <w:szCs w:val="24"/>
              </w:rPr>
              <w:t>9</w:t>
            </w:r>
          </w:p>
        </w:tc>
        <w:tc>
          <w:tcPr>
            <w:tcW w:w="9639" w:type="dxa"/>
            <w:vAlign w:val="center"/>
          </w:tcPr>
          <w:p>
            <w:pPr>
              <w:spacing w:line="300" w:lineRule="exact"/>
              <w:jc w:val="both"/>
              <w:rPr>
                <w:rFonts w:asciiTheme="minorEastAsia" w:hAnsiTheme="minorEastAsia"/>
                <w:sz w:val="24"/>
                <w:szCs w:val="24"/>
              </w:rPr>
            </w:pPr>
            <w:r>
              <w:rPr>
                <w:rFonts w:hint="eastAsia" w:asciiTheme="minorEastAsia" w:hAnsiTheme="minorEastAsia"/>
                <w:sz w:val="24"/>
                <w:szCs w:val="24"/>
              </w:rPr>
              <w:t xml:space="preserve">重点建设2个省级现代学徒制试点学校 </w:t>
            </w:r>
          </w:p>
        </w:tc>
        <w:tc>
          <w:tcPr>
            <w:tcW w:w="3576" w:type="dxa"/>
            <w:vAlign w:val="center"/>
          </w:tcPr>
          <w:p>
            <w:pPr>
              <w:spacing w:line="300" w:lineRule="exact"/>
              <w:jc w:val="center"/>
              <w:rPr>
                <w:rFonts w:asciiTheme="minorEastAsia" w:hAnsiTheme="minorEastAsia"/>
                <w:sz w:val="24"/>
                <w:szCs w:val="24"/>
              </w:rPr>
            </w:pPr>
            <w:r>
              <w:rPr>
                <w:rFonts w:hint="eastAsia" w:asciiTheme="minorEastAsia" w:hAnsiTheme="minorEastAsia"/>
                <w:sz w:val="24"/>
                <w:szCs w:val="24"/>
              </w:rPr>
              <w:t>市教育局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300" w:lineRule="exact"/>
              <w:jc w:val="center"/>
              <w:rPr>
                <w:rFonts w:asciiTheme="minorEastAsia" w:hAnsiTheme="minorEastAsia"/>
                <w:sz w:val="24"/>
                <w:szCs w:val="24"/>
              </w:rPr>
            </w:pPr>
            <w:r>
              <w:rPr>
                <w:rFonts w:hint="eastAsia" w:asciiTheme="minorEastAsia" w:hAnsiTheme="minorEastAsia"/>
                <w:sz w:val="24"/>
                <w:szCs w:val="24"/>
              </w:rPr>
              <w:t>10</w:t>
            </w:r>
          </w:p>
        </w:tc>
        <w:tc>
          <w:tcPr>
            <w:tcW w:w="9639" w:type="dxa"/>
            <w:vAlign w:val="center"/>
          </w:tcPr>
          <w:p>
            <w:pPr>
              <w:spacing w:line="300" w:lineRule="exact"/>
              <w:jc w:val="both"/>
              <w:rPr>
                <w:rFonts w:asciiTheme="minorEastAsia" w:hAnsiTheme="minorEastAsia"/>
                <w:sz w:val="24"/>
                <w:szCs w:val="24"/>
              </w:rPr>
            </w:pPr>
            <w:r>
              <w:rPr>
                <w:rFonts w:hint="eastAsia" w:asciiTheme="minorEastAsia" w:hAnsiTheme="minorEastAsia"/>
                <w:sz w:val="24"/>
                <w:szCs w:val="24"/>
              </w:rPr>
              <w:t>重点建设3个省级以上“学历证书+若干职业技能等级证书”制度（“1+X”证书制度）试点学校</w:t>
            </w:r>
          </w:p>
        </w:tc>
        <w:tc>
          <w:tcPr>
            <w:tcW w:w="3576" w:type="dxa"/>
            <w:vAlign w:val="center"/>
          </w:tcPr>
          <w:p>
            <w:pPr>
              <w:spacing w:line="300" w:lineRule="exact"/>
              <w:jc w:val="center"/>
              <w:rPr>
                <w:rFonts w:asciiTheme="minorEastAsia" w:hAnsiTheme="minorEastAsia"/>
                <w:sz w:val="24"/>
                <w:szCs w:val="24"/>
              </w:rPr>
            </w:pPr>
            <w:r>
              <w:rPr>
                <w:rFonts w:hint="eastAsia" w:asciiTheme="minorEastAsia" w:hAnsiTheme="minorEastAsia"/>
                <w:sz w:val="24"/>
                <w:szCs w:val="24"/>
              </w:rPr>
              <w:t>市教育局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300" w:lineRule="exact"/>
              <w:jc w:val="center"/>
              <w:rPr>
                <w:rFonts w:asciiTheme="minorEastAsia" w:hAnsiTheme="minorEastAsia"/>
                <w:sz w:val="24"/>
                <w:szCs w:val="24"/>
              </w:rPr>
            </w:pPr>
            <w:r>
              <w:rPr>
                <w:rFonts w:hint="eastAsia" w:asciiTheme="minorEastAsia" w:hAnsiTheme="minorEastAsia"/>
                <w:sz w:val="24"/>
                <w:szCs w:val="24"/>
              </w:rPr>
              <w:t>11</w:t>
            </w:r>
          </w:p>
        </w:tc>
        <w:tc>
          <w:tcPr>
            <w:tcW w:w="9639" w:type="dxa"/>
            <w:vAlign w:val="center"/>
          </w:tcPr>
          <w:p>
            <w:pPr>
              <w:spacing w:line="300" w:lineRule="exact"/>
              <w:jc w:val="both"/>
              <w:rPr>
                <w:rFonts w:asciiTheme="minorEastAsia" w:hAnsiTheme="minorEastAsia"/>
                <w:sz w:val="24"/>
                <w:szCs w:val="24"/>
              </w:rPr>
            </w:pPr>
            <w:r>
              <w:rPr>
                <w:rFonts w:hint="eastAsia" w:asciiTheme="minorEastAsia" w:hAnsiTheme="minorEastAsia"/>
                <w:sz w:val="24"/>
                <w:szCs w:val="24"/>
              </w:rPr>
              <w:t>按照公开招聘有关规定，建立完善以直接考核方式引进高层次、高技能人才机制</w:t>
            </w:r>
          </w:p>
        </w:tc>
        <w:tc>
          <w:tcPr>
            <w:tcW w:w="3576" w:type="dxa"/>
            <w:vAlign w:val="center"/>
          </w:tcPr>
          <w:p>
            <w:pPr>
              <w:spacing w:line="300" w:lineRule="exact"/>
              <w:jc w:val="center"/>
              <w:rPr>
                <w:rFonts w:asciiTheme="minorEastAsia" w:hAnsiTheme="minorEastAsia"/>
                <w:sz w:val="24"/>
                <w:szCs w:val="24"/>
              </w:rPr>
            </w:pPr>
            <w:r>
              <w:rPr>
                <w:rFonts w:hint="eastAsia" w:asciiTheme="minorEastAsia" w:hAnsiTheme="minorEastAsia"/>
                <w:sz w:val="24"/>
                <w:szCs w:val="24"/>
              </w:rPr>
              <w:t>市人社局、市教育局</w:t>
            </w:r>
          </w:p>
          <w:p>
            <w:pPr>
              <w:spacing w:line="300" w:lineRule="exact"/>
              <w:jc w:val="center"/>
              <w:rPr>
                <w:rFonts w:asciiTheme="minorEastAsia" w:hAnsiTheme="minorEastAsia"/>
                <w:sz w:val="24"/>
                <w:szCs w:val="24"/>
              </w:rPr>
            </w:pPr>
            <w:r>
              <w:rPr>
                <w:rFonts w:hint="eastAsia" w:asciiTheme="minorEastAsia" w:hAnsiTheme="minorEastAsia"/>
                <w:sz w:val="24"/>
                <w:szCs w:val="24"/>
              </w:rPr>
              <w:t>各县（市）政府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300" w:lineRule="exact"/>
              <w:jc w:val="center"/>
              <w:rPr>
                <w:rFonts w:asciiTheme="minorEastAsia" w:hAnsiTheme="minorEastAsia"/>
                <w:sz w:val="24"/>
                <w:szCs w:val="24"/>
              </w:rPr>
            </w:pPr>
            <w:r>
              <w:rPr>
                <w:rFonts w:hint="eastAsia" w:asciiTheme="minorEastAsia" w:hAnsiTheme="minorEastAsia"/>
                <w:sz w:val="24"/>
                <w:szCs w:val="24"/>
              </w:rPr>
              <w:t>12</w:t>
            </w:r>
          </w:p>
        </w:tc>
        <w:tc>
          <w:tcPr>
            <w:tcW w:w="9639" w:type="dxa"/>
            <w:vAlign w:val="center"/>
          </w:tcPr>
          <w:p>
            <w:pPr>
              <w:spacing w:line="300" w:lineRule="exact"/>
              <w:jc w:val="both"/>
              <w:rPr>
                <w:rFonts w:asciiTheme="minorEastAsia" w:hAnsiTheme="minorEastAsia"/>
                <w:sz w:val="24"/>
                <w:szCs w:val="24"/>
              </w:rPr>
            </w:pPr>
            <w:r>
              <w:rPr>
                <w:rFonts w:hint="eastAsia" w:asciiTheme="minorEastAsia" w:hAnsiTheme="minorEastAsia"/>
                <w:sz w:val="24"/>
                <w:szCs w:val="24"/>
              </w:rPr>
              <w:t>自2021年起，除持有相关领域职业技能等级证书的毕业生外，职业学校相关专业教师原则上从具有3年以上企业工作经历并具有高职专科以上学历的人员中公开招聘</w:t>
            </w:r>
          </w:p>
        </w:tc>
        <w:tc>
          <w:tcPr>
            <w:tcW w:w="3576" w:type="dxa"/>
            <w:vAlign w:val="center"/>
          </w:tcPr>
          <w:p>
            <w:pPr>
              <w:spacing w:line="300" w:lineRule="exact"/>
              <w:jc w:val="center"/>
              <w:rPr>
                <w:rFonts w:asciiTheme="minorEastAsia" w:hAnsiTheme="minorEastAsia"/>
                <w:sz w:val="24"/>
                <w:szCs w:val="24"/>
              </w:rPr>
            </w:pPr>
            <w:r>
              <w:rPr>
                <w:rFonts w:hint="eastAsia" w:asciiTheme="minorEastAsia" w:hAnsiTheme="minorEastAsia"/>
                <w:sz w:val="24"/>
                <w:szCs w:val="24"/>
              </w:rPr>
              <w:t>市人社局、市教育局</w:t>
            </w:r>
          </w:p>
          <w:p>
            <w:pPr>
              <w:spacing w:line="300" w:lineRule="exact"/>
              <w:jc w:val="center"/>
              <w:rPr>
                <w:rFonts w:asciiTheme="minorEastAsia" w:hAnsiTheme="minorEastAsia"/>
                <w:sz w:val="24"/>
                <w:szCs w:val="24"/>
              </w:rPr>
            </w:pPr>
            <w:r>
              <w:rPr>
                <w:rFonts w:hint="eastAsia" w:asciiTheme="minorEastAsia" w:hAnsiTheme="minorEastAsia"/>
                <w:sz w:val="24"/>
                <w:szCs w:val="24"/>
              </w:rPr>
              <w:t>各县（市）政府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300" w:lineRule="exact"/>
              <w:jc w:val="center"/>
              <w:rPr>
                <w:rFonts w:asciiTheme="minorEastAsia" w:hAnsiTheme="minorEastAsia"/>
                <w:sz w:val="24"/>
                <w:szCs w:val="24"/>
              </w:rPr>
            </w:pPr>
            <w:r>
              <w:rPr>
                <w:rFonts w:hint="eastAsia" w:asciiTheme="minorEastAsia" w:hAnsiTheme="minorEastAsia"/>
                <w:sz w:val="24"/>
                <w:szCs w:val="24"/>
              </w:rPr>
              <w:t>13</w:t>
            </w:r>
          </w:p>
        </w:tc>
        <w:tc>
          <w:tcPr>
            <w:tcW w:w="9639" w:type="dxa"/>
            <w:vAlign w:val="center"/>
          </w:tcPr>
          <w:p>
            <w:pPr>
              <w:spacing w:line="300" w:lineRule="exact"/>
              <w:jc w:val="both"/>
              <w:rPr>
                <w:rFonts w:asciiTheme="minorEastAsia" w:hAnsiTheme="minorEastAsia"/>
                <w:sz w:val="24"/>
                <w:szCs w:val="24"/>
              </w:rPr>
            </w:pPr>
            <w:r>
              <w:rPr>
                <w:rFonts w:hint="eastAsia" w:asciiTheme="minorEastAsia" w:hAnsiTheme="minorEastAsia"/>
                <w:sz w:val="24"/>
                <w:szCs w:val="24"/>
              </w:rPr>
              <w:t>推行“固定岗+流动岗”师资队伍建设机制，建立校企人员双向交流协作共同体</w:t>
            </w:r>
          </w:p>
        </w:tc>
        <w:tc>
          <w:tcPr>
            <w:tcW w:w="3576" w:type="dxa"/>
            <w:vAlign w:val="center"/>
          </w:tcPr>
          <w:p>
            <w:pPr>
              <w:spacing w:line="300" w:lineRule="exact"/>
              <w:jc w:val="center"/>
              <w:rPr>
                <w:rFonts w:asciiTheme="minorEastAsia" w:hAnsiTheme="minorEastAsia"/>
                <w:sz w:val="24"/>
                <w:szCs w:val="24"/>
              </w:rPr>
            </w:pPr>
            <w:r>
              <w:rPr>
                <w:rFonts w:hint="eastAsia" w:asciiTheme="minorEastAsia" w:hAnsiTheme="minorEastAsia"/>
                <w:sz w:val="24"/>
                <w:szCs w:val="24"/>
              </w:rPr>
              <w:t>市人社局、市教育局</w:t>
            </w:r>
          </w:p>
          <w:p>
            <w:pPr>
              <w:spacing w:line="300" w:lineRule="exact"/>
              <w:jc w:val="center"/>
              <w:rPr>
                <w:rFonts w:asciiTheme="minorEastAsia" w:hAnsiTheme="minorEastAsia"/>
                <w:sz w:val="24"/>
                <w:szCs w:val="24"/>
              </w:rPr>
            </w:pPr>
            <w:r>
              <w:rPr>
                <w:rFonts w:hint="eastAsia" w:asciiTheme="minorEastAsia" w:hAnsiTheme="minorEastAsia"/>
                <w:sz w:val="24"/>
                <w:szCs w:val="24"/>
              </w:rPr>
              <w:t>市财政局、各县（市）政府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7" w:hRule="atLeast"/>
        </w:trPr>
        <w:tc>
          <w:tcPr>
            <w:tcW w:w="959" w:type="dxa"/>
            <w:vAlign w:val="center"/>
          </w:tcPr>
          <w:p>
            <w:pPr>
              <w:spacing w:line="300" w:lineRule="exact"/>
              <w:jc w:val="center"/>
              <w:rPr>
                <w:rFonts w:asciiTheme="minorEastAsia" w:hAnsiTheme="minorEastAsia"/>
                <w:sz w:val="24"/>
                <w:szCs w:val="24"/>
              </w:rPr>
            </w:pPr>
            <w:r>
              <w:rPr>
                <w:rFonts w:hint="eastAsia" w:asciiTheme="minorEastAsia" w:hAnsiTheme="minorEastAsia"/>
                <w:sz w:val="24"/>
                <w:szCs w:val="24"/>
              </w:rPr>
              <w:t>14</w:t>
            </w:r>
          </w:p>
        </w:tc>
        <w:tc>
          <w:tcPr>
            <w:tcW w:w="9639" w:type="dxa"/>
            <w:vAlign w:val="center"/>
          </w:tcPr>
          <w:p>
            <w:pPr>
              <w:spacing w:line="300" w:lineRule="exact"/>
              <w:jc w:val="both"/>
              <w:rPr>
                <w:rFonts w:asciiTheme="minorEastAsia" w:hAnsiTheme="minorEastAsia"/>
                <w:sz w:val="24"/>
                <w:szCs w:val="24"/>
              </w:rPr>
            </w:pPr>
            <w:r>
              <w:rPr>
                <w:rFonts w:hint="eastAsia" w:cs="Arial" w:asciiTheme="minorEastAsia" w:hAnsiTheme="minorEastAsia"/>
                <w:color w:val="000000" w:themeColor="text1"/>
                <w:sz w:val="24"/>
                <w:szCs w:val="24"/>
              </w:rPr>
              <w:t>落实专业课教师全员轮训制度，实施5年累计不少于10个月企业实践制度</w:t>
            </w:r>
          </w:p>
        </w:tc>
        <w:tc>
          <w:tcPr>
            <w:tcW w:w="3576" w:type="dxa"/>
            <w:vAlign w:val="center"/>
          </w:tcPr>
          <w:p>
            <w:pPr>
              <w:spacing w:line="300" w:lineRule="exact"/>
              <w:jc w:val="center"/>
              <w:rPr>
                <w:rFonts w:asciiTheme="minorEastAsia" w:hAnsiTheme="minorEastAsia"/>
                <w:sz w:val="24"/>
                <w:szCs w:val="24"/>
              </w:rPr>
            </w:pPr>
            <w:r>
              <w:rPr>
                <w:rFonts w:hint="eastAsia" w:asciiTheme="minorEastAsia" w:hAnsiTheme="minorEastAsia"/>
                <w:sz w:val="24"/>
                <w:szCs w:val="24"/>
              </w:rPr>
              <w:t>市教育局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3" w:hRule="atLeast"/>
        </w:trPr>
        <w:tc>
          <w:tcPr>
            <w:tcW w:w="959" w:type="dxa"/>
            <w:vAlign w:val="center"/>
          </w:tcPr>
          <w:p>
            <w:pPr>
              <w:spacing w:line="300" w:lineRule="exact"/>
              <w:jc w:val="center"/>
              <w:rPr>
                <w:rFonts w:asciiTheme="minorEastAsia" w:hAnsiTheme="minorEastAsia"/>
                <w:sz w:val="24"/>
                <w:szCs w:val="24"/>
              </w:rPr>
            </w:pPr>
            <w:r>
              <w:rPr>
                <w:rFonts w:hint="eastAsia" w:asciiTheme="minorEastAsia" w:hAnsiTheme="minorEastAsia"/>
                <w:sz w:val="24"/>
                <w:szCs w:val="24"/>
              </w:rPr>
              <w:t>15</w:t>
            </w:r>
          </w:p>
        </w:tc>
        <w:tc>
          <w:tcPr>
            <w:tcW w:w="9639" w:type="dxa"/>
            <w:vAlign w:val="center"/>
          </w:tcPr>
          <w:p>
            <w:pPr>
              <w:spacing w:line="300" w:lineRule="exact"/>
              <w:jc w:val="both"/>
              <w:rPr>
                <w:rFonts w:asciiTheme="minorEastAsia" w:hAnsiTheme="minorEastAsia"/>
                <w:sz w:val="24"/>
                <w:szCs w:val="24"/>
              </w:rPr>
            </w:pPr>
            <w:r>
              <w:rPr>
                <w:rFonts w:hint="eastAsia" w:asciiTheme="minorEastAsia" w:hAnsiTheme="minorEastAsia"/>
                <w:color w:val="000000" w:themeColor="text1"/>
                <w:sz w:val="24"/>
                <w:szCs w:val="24"/>
              </w:rPr>
              <w:t>落实职业院校教师素质提高计划，分专业遴选</w:t>
            </w:r>
            <w:r>
              <w:rPr>
                <w:rFonts w:hint="eastAsia" w:asciiTheme="minorEastAsia" w:hAnsiTheme="minorEastAsia"/>
                <w:color w:val="000000" w:themeColor="text1"/>
                <w:sz w:val="24"/>
                <w:szCs w:val="24"/>
                <w:lang w:val="en-US" w:eastAsia="zh-CN"/>
              </w:rPr>
              <w:t>20</w:t>
            </w:r>
            <w:r>
              <w:rPr>
                <w:rFonts w:hint="eastAsia" w:asciiTheme="minorEastAsia" w:hAnsiTheme="minorEastAsia"/>
                <w:color w:val="000000" w:themeColor="text1"/>
                <w:sz w:val="24"/>
                <w:szCs w:val="24"/>
              </w:rPr>
              <w:t>名市级专业带头人</w:t>
            </w:r>
          </w:p>
        </w:tc>
        <w:tc>
          <w:tcPr>
            <w:tcW w:w="3576" w:type="dxa"/>
            <w:vAlign w:val="center"/>
          </w:tcPr>
          <w:p>
            <w:pPr>
              <w:spacing w:line="300" w:lineRule="exact"/>
              <w:jc w:val="center"/>
              <w:rPr>
                <w:rFonts w:asciiTheme="minorEastAsia" w:hAnsiTheme="minorEastAsia"/>
                <w:sz w:val="24"/>
                <w:szCs w:val="24"/>
              </w:rPr>
            </w:pPr>
            <w:r>
              <w:rPr>
                <w:rFonts w:hint="eastAsia" w:asciiTheme="minorEastAsia" w:hAnsiTheme="minorEastAsia"/>
                <w:sz w:val="24"/>
                <w:szCs w:val="24"/>
              </w:rPr>
              <w:t>市教育局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atLeast"/>
        </w:trPr>
        <w:tc>
          <w:tcPr>
            <w:tcW w:w="959" w:type="dxa"/>
            <w:vAlign w:val="center"/>
          </w:tcPr>
          <w:p>
            <w:pPr>
              <w:spacing w:line="300" w:lineRule="exact"/>
              <w:jc w:val="center"/>
              <w:rPr>
                <w:rFonts w:asciiTheme="minorEastAsia" w:hAnsiTheme="minorEastAsia"/>
                <w:sz w:val="24"/>
                <w:szCs w:val="24"/>
              </w:rPr>
            </w:pPr>
            <w:r>
              <w:rPr>
                <w:rFonts w:hint="eastAsia" w:asciiTheme="minorEastAsia" w:hAnsiTheme="minorEastAsia"/>
                <w:sz w:val="24"/>
                <w:szCs w:val="24"/>
              </w:rPr>
              <w:t>16</w:t>
            </w:r>
          </w:p>
        </w:tc>
        <w:tc>
          <w:tcPr>
            <w:tcW w:w="9639" w:type="dxa"/>
            <w:vAlign w:val="center"/>
          </w:tcPr>
          <w:p>
            <w:pPr>
              <w:spacing w:line="300" w:lineRule="exact"/>
              <w:jc w:val="both"/>
              <w:rPr>
                <w:rFonts w:asciiTheme="minorEastAsia" w:hAnsiTheme="minorEastAsia"/>
                <w:sz w:val="24"/>
                <w:szCs w:val="24"/>
              </w:rPr>
            </w:pPr>
            <w:r>
              <w:rPr>
                <w:rFonts w:hint="eastAsia" w:asciiTheme="minorEastAsia" w:hAnsiTheme="minorEastAsia"/>
                <w:sz w:val="24"/>
                <w:szCs w:val="24"/>
              </w:rPr>
              <w:t>搭建职业教育在线学习平台，建设10门省级精品在线开放课程</w:t>
            </w:r>
          </w:p>
        </w:tc>
        <w:tc>
          <w:tcPr>
            <w:tcW w:w="3576" w:type="dxa"/>
            <w:vAlign w:val="center"/>
          </w:tcPr>
          <w:p>
            <w:pPr>
              <w:spacing w:line="300" w:lineRule="exact"/>
              <w:jc w:val="center"/>
              <w:rPr>
                <w:rFonts w:asciiTheme="minorEastAsia" w:hAnsiTheme="minorEastAsia"/>
                <w:sz w:val="24"/>
                <w:szCs w:val="24"/>
              </w:rPr>
            </w:pPr>
            <w:r>
              <w:rPr>
                <w:rFonts w:hint="eastAsia" w:asciiTheme="minorEastAsia" w:hAnsiTheme="minorEastAsia"/>
                <w:sz w:val="24"/>
                <w:szCs w:val="24"/>
              </w:rPr>
              <w:t>市教育局、各县（市）政府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9" w:hRule="atLeast"/>
        </w:trPr>
        <w:tc>
          <w:tcPr>
            <w:tcW w:w="959" w:type="dxa"/>
            <w:vAlign w:val="center"/>
          </w:tcPr>
          <w:p>
            <w:pPr>
              <w:spacing w:line="300" w:lineRule="exact"/>
              <w:jc w:val="center"/>
              <w:rPr>
                <w:rFonts w:asciiTheme="minorEastAsia" w:hAnsiTheme="minorEastAsia"/>
                <w:sz w:val="24"/>
                <w:szCs w:val="24"/>
              </w:rPr>
            </w:pPr>
            <w:r>
              <w:rPr>
                <w:rFonts w:hint="eastAsia" w:asciiTheme="minorEastAsia" w:hAnsiTheme="minorEastAsia"/>
                <w:sz w:val="24"/>
                <w:szCs w:val="24"/>
              </w:rPr>
              <w:t>17</w:t>
            </w:r>
          </w:p>
        </w:tc>
        <w:tc>
          <w:tcPr>
            <w:tcW w:w="9639" w:type="dxa"/>
            <w:vAlign w:val="center"/>
          </w:tcPr>
          <w:p>
            <w:pPr>
              <w:spacing w:line="300" w:lineRule="exact"/>
              <w:jc w:val="both"/>
              <w:rPr>
                <w:rFonts w:asciiTheme="minorEastAsia" w:hAnsiTheme="minorEastAsia"/>
                <w:sz w:val="24"/>
                <w:szCs w:val="24"/>
              </w:rPr>
            </w:pPr>
            <w:r>
              <w:rPr>
                <w:rFonts w:hint="eastAsia" w:asciiTheme="minorEastAsia" w:hAnsiTheme="minorEastAsia"/>
                <w:sz w:val="24"/>
                <w:szCs w:val="24"/>
              </w:rPr>
              <w:t>组建开放共享的、满足实习实训需求的虚拟仿真实训基地。</w:t>
            </w:r>
          </w:p>
        </w:tc>
        <w:tc>
          <w:tcPr>
            <w:tcW w:w="3576" w:type="dxa"/>
            <w:vAlign w:val="center"/>
          </w:tcPr>
          <w:p>
            <w:pPr>
              <w:spacing w:line="300" w:lineRule="exact"/>
              <w:jc w:val="center"/>
              <w:rPr>
                <w:rFonts w:asciiTheme="minorEastAsia" w:hAnsiTheme="minorEastAsia"/>
                <w:sz w:val="24"/>
                <w:szCs w:val="24"/>
              </w:rPr>
            </w:pPr>
            <w:r>
              <w:rPr>
                <w:rFonts w:hint="eastAsia" w:asciiTheme="minorEastAsia" w:hAnsiTheme="minorEastAsia"/>
                <w:sz w:val="24"/>
                <w:szCs w:val="24"/>
              </w:rPr>
              <w:t>市教育局、各县（市）政府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300" w:lineRule="exact"/>
              <w:jc w:val="center"/>
              <w:rPr>
                <w:rFonts w:asciiTheme="minorEastAsia" w:hAnsiTheme="minorEastAsia"/>
                <w:sz w:val="24"/>
                <w:szCs w:val="24"/>
              </w:rPr>
            </w:pPr>
            <w:r>
              <w:rPr>
                <w:rFonts w:hint="eastAsia" w:asciiTheme="minorEastAsia" w:hAnsiTheme="minorEastAsia"/>
                <w:sz w:val="24"/>
                <w:szCs w:val="24"/>
              </w:rPr>
              <w:t>18</w:t>
            </w:r>
          </w:p>
        </w:tc>
        <w:tc>
          <w:tcPr>
            <w:tcW w:w="9639" w:type="dxa"/>
            <w:vAlign w:val="center"/>
          </w:tcPr>
          <w:p>
            <w:pPr>
              <w:spacing w:line="300" w:lineRule="exact"/>
              <w:jc w:val="both"/>
              <w:rPr>
                <w:rFonts w:asciiTheme="minorEastAsia" w:hAnsiTheme="minorEastAsia"/>
                <w:sz w:val="24"/>
                <w:szCs w:val="24"/>
              </w:rPr>
            </w:pPr>
            <w:r>
              <w:rPr>
                <w:rFonts w:hint="eastAsia" w:asciiTheme="minorEastAsia" w:hAnsiTheme="minorEastAsia"/>
                <w:sz w:val="24"/>
                <w:szCs w:val="24"/>
              </w:rPr>
              <w:t>职业院校开展职业培训、技术创新、就业创业和社会服务等收益纳入学校教育事业收入，可按一定比例作为绩效工资分配</w:t>
            </w:r>
          </w:p>
        </w:tc>
        <w:tc>
          <w:tcPr>
            <w:tcW w:w="3576" w:type="dxa"/>
            <w:vAlign w:val="center"/>
          </w:tcPr>
          <w:p>
            <w:pPr>
              <w:spacing w:line="300" w:lineRule="exact"/>
              <w:jc w:val="center"/>
              <w:rPr>
                <w:rFonts w:asciiTheme="minorEastAsia" w:hAnsiTheme="minorEastAsia"/>
                <w:sz w:val="24"/>
                <w:szCs w:val="24"/>
              </w:rPr>
            </w:pPr>
            <w:r>
              <w:rPr>
                <w:rFonts w:hint="eastAsia" w:asciiTheme="minorEastAsia" w:hAnsiTheme="minorEastAsia"/>
                <w:sz w:val="24"/>
                <w:szCs w:val="24"/>
              </w:rPr>
              <w:t>市人社局、市财政局、市税务局</w:t>
            </w:r>
          </w:p>
          <w:p>
            <w:pPr>
              <w:spacing w:line="300" w:lineRule="exact"/>
              <w:jc w:val="center"/>
              <w:rPr>
                <w:rFonts w:asciiTheme="minorEastAsia" w:hAnsiTheme="minorEastAsia"/>
                <w:sz w:val="24"/>
                <w:szCs w:val="24"/>
              </w:rPr>
            </w:pPr>
            <w:r>
              <w:rPr>
                <w:rFonts w:hint="eastAsia" w:asciiTheme="minorEastAsia" w:hAnsiTheme="minorEastAsia"/>
                <w:sz w:val="24"/>
                <w:szCs w:val="24"/>
              </w:rPr>
              <w:t>市教育局、各县（市）政府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300" w:lineRule="exact"/>
              <w:jc w:val="center"/>
              <w:rPr>
                <w:rFonts w:asciiTheme="minorEastAsia" w:hAnsiTheme="minorEastAsia"/>
                <w:sz w:val="24"/>
                <w:szCs w:val="24"/>
              </w:rPr>
            </w:pPr>
            <w:r>
              <w:rPr>
                <w:rFonts w:hint="eastAsia" w:asciiTheme="minorEastAsia" w:hAnsiTheme="minorEastAsia"/>
                <w:sz w:val="24"/>
                <w:szCs w:val="24"/>
              </w:rPr>
              <w:t>19</w:t>
            </w:r>
          </w:p>
        </w:tc>
        <w:tc>
          <w:tcPr>
            <w:tcW w:w="9639" w:type="dxa"/>
            <w:vAlign w:val="center"/>
          </w:tcPr>
          <w:p>
            <w:pPr>
              <w:spacing w:line="300" w:lineRule="exact"/>
              <w:jc w:val="both"/>
              <w:rPr>
                <w:rFonts w:asciiTheme="minorEastAsia" w:hAnsiTheme="minorEastAsia"/>
                <w:sz w:val="24"/>
                <w:szCs w:val="24"/>
              </w:rPr>
            </w:pPr>
            <w:r>
              <w:rPr>
                <w:rFonts w:hint="eastAsia" w:asciiTheme="minorEastAsia" w:hAnsiTheme="minorEastAsia"/>
                <w:sz w:val="24"/>
                <w:szCs w:val="24"/>
              </w:rPr>
              <w:t>建立与职业学校办学规模、培养成本、办学质量相适应的财政经费稳步增长与保障机制</w:t>
            </w:r>
          </w:p>
        </w:tc>
        <w:tc>
          <w:tcPr>
            <w:tcW w:w="3576" w:type="dxa"/>
            <w:vAlign w:val="center"/>
          </w:tcPr>
          <w:p>
            <w:pPr>
              <w:spacing w:line="300" w:lineRule="exact"/>
              <w:jc w:val="center"/>
              <w:rPr>
                <w:rFonts w:asciiTheme="minorEastAsia" w:hAnsiTheme="minorEastAsia"/>
                <w:sz w:val="24"/>
                <w:szCs w:val="24"/>
              </w:rPr>
            </w:pPr>
            <w:r>
              <w:rPr>
                <w:rFonts w:hint="eastAsia" w:asciiTheme="minorEastAsia" w:hAnsiTheme="minorEastAsia"/>
                <w:sz w:val="24"/>
                <w:szCs w:val="24"/>
              </w:rPr>
              <w:t>市财政局、市教育局、</w:t>
            </w:r>
          </w:p>
          <w:p>
            <w:pPr>
              <w:spacing w:line="300" w:lineRule="exact"/>
              <w:jc w:val="center"/>
              <w:rPr>
                <w:rFonts w:asciiTheme="minorEastAsia" w:hAnsiTheme="minorEastAsia"/>
                <w:sz w:val="24"/>
                <w:szCs w:val="24"/>
              </w:rPr>
            </w:pPr>
            <w:r>
              <w:rPr>
                <w:rFonts w:hint="eastAsia" w:asciiTheme="minorEastAsia" w:hAnsiTheme="minorEastAsia"/>
                <w:sz w:val="24"/>
                <w:szCs w:val="24"/>
              </w:rPr>
              <w:t>各县（市）政府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300" w:lineRule="exact"/>
              <w:jc w:val="center"/>
              <w:rPr>
                <w:rFonts w:asciiTheme="minorEastAsia" w:hAnsiTheme="minorEastAsia"/>
                <w:sz w:val="24"/>
                <w:szCs w:val="24"/>
              </w:rPr>
            </w:pPr>
            <w:r>
              <w:rPr>
                <w:rFonts w:hint="eastAsia" w:asciiTheme="minorEastAsia" w:hAnsiTheme="minorEastAsia"/>
                <w:sz w:val="24"/>
                <w:szCs w:val="24"/>
              </w:rPr>
              <w:t>20</w:t>
            </w:r>
          </w:p>
        </w:tc>
        <w:tc>
          <w:tcPr>
            <w:tcW w:w="9639" w:type="dxa"/>
            <w:vAlign w:val="center"/>
          </w:tcPr>
          <w:p>
            <w:pPr>
              <w:spacing w:line="300" w:lineRule="exact"/>
              <w:jc w:val="both"/>
              <w:rPr>
                <w:rFonts w:asciiTheme="minorEastAsia" w:hAnsiTheme="minorEastAsia"/>
                <w:sz w:val="24"/>
                <w:szCs w:val="24"/>
              </w:rPr>
            </w:pPr>
            <w:r>
              <w:rPr>
                <w:rFonts w:hint="eastAsia" w:asciiTheme="minorEastAsia" w:hAnsiTheme="minorEastAsia"/>
                <w:sz w:val="24"/>
                <w:szCs w:val="24"/>
              </w:rPr>
              <w:t>新增教育经费要向职业教育倾斜，建立健全投入绩效管理机制，推动建立职业教育经费全方位、全过程的绩效预算管理体系，提高资金使用效益，落实市级教育费附加30%用于职业教育发展的政策</w:t>
            </w:r>
          </w:p>
        </w:tc>
        <w:tc>
          <w:tcPr>
            <w:tcW w:w="3576" w:type="dxa"/>
            <w:vAlign w:val="center"/>
          </w:tcPr>
          <w:p>
            <w:pPr>
              <w:spacing w:line="300" w:lineRule="exact"/>
              <w:jc w:val="center"/>
              <w:rPr>
                <w:rFonts w:asciiTheme="minorEastAsia" w:hAnsiTheme="minorEastAsia"/>
                <w:sz w:val="24"/>
                <w:szCs w:val="24"/>
              </w:rPr>
            </w:pPr>
            <w:r>
              <w:rPr>
                <w:rFonts w:hint="eastAsia" w:asciiTheme="minorEastAsia" w:hAnsiTheme="minorEastAsia"/>
                <w:sz w:val="24"/>
                <w:szCs w:val="24"/>
              </w:rPr>
              <w:t>市财政局、市教育局、</w:t>
            </w:r>
          </w:p>
          <w:p>
            <w:pPr>
              <w:spacing w:line="300" w:lineRule="exact"/>
              <w:jc w:val="center"/>
              <w:rPr>
                <w:rFonts w:asciiTheme="minorEastAsia" w:hAnsiTheme="minorEastAsia"/>
                <w:sz w:val="24"/>
                <w:szCs w:val="24"/>
              </w:rPr>
            </w:pPr>
            <w:r>
              <w:rPr>
                <w:rFonts w:hint="eastAsia" w:asciiTheme="minorEastAsia" w:hAnsiTheme="minorEastAsia"/>
                <w:sz w:val="24"/>
                <w:szCs w:val="24"/>
              </w:rPr>
              <w:t>各县（市）政府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300" w:lineRule="exact"/>
              <w:jc w:val="center"/>
              <w:rPr>
                <w:rFonts w:asciiTheme="minorEastAsia" w:hAnsiTheme="minorEastAsia"/>
                <w:sz w:val="24"/>
                <w:szCs w:val="24"/>
              </w:rPr>
            </w:pPr>
            <w:r>
              <w:rPr>
                <w:rFonts w:hint="eastAsia" w:asciiTheme="minorEastAsia" w:hAnsiTheme="minorEastAsia"/>
                <w:sz w:val="24"/>
                <w:szCs w:val="24"/>
              </w:rPr>
              <w:t>21</w:t>
            </w:r>
          </w:p>
        </w:tc>
        <w:tc>
          <w:tcPr>
            <w:tcW w:w="9639" w:type="dxa"/>
            <w:vAlign w:val="center"/>
          </w:tcPr>
          <w:p>
            <w:pPr>
              <w:spacing w:line="300" w:lineRule="exact"/>
              <w:jc w:val="both"/>
              <w:rPr>
                <w:rFonts w:asciiTheme="minorEastAsia" w:hAnsiTheme="minorEastAsia"/>
                <w:sz w:val="24"/>
                <w:szCs w:val="24"/>
              </w:rPr>
            </w:pPr>
            <w:r>
              <w:rPr>
                <w:rFonts w:hint="eastAsia" w:asciiTheme="minorEastAsia" w:hAnsiTheme="minorEastAsia"/>
                <w:sz w:val="24"/>
                <w:szCs w:val="24"/>
              </w:rPr>
              <w:t>整体提升职业院校基本办学条件水平，推动我市职业学校到2022年全部达到国家设置标准</w:t>
            </w:r>
          </w:p>
        </w:tc>
        <w:tc>
          <w:tcPr>
            <w:tcW w:w="3576" w:type="dxa"/>
            <w:vAlign w:val="center"/>
          </w:tcPr>
          <w:p>
            <w:pPr>
              <w:spacing w:line="300" w:lineRule="exact"/>
              <w:jc w:val="center"/>
              <w:rPr>
                <w:rFonts w:asciiTheme="minorEastAsia" w:hAnsiTheme="minorEastAsia"/>
                <w:sz w:val="24"/>
                <w:szCs w:val="24"/>
              </w:rPr>
            </w:pPr>
            <w:r>
              <w:rPr>
                <w:rFonts w:hint="eastAsia" w:asciiTheme="minorEastAsia" w:hAnsiTheme="minorEastAsia"/>
                <w:sz w:val="24"/>
                <w:szCs w:val="24"/>
              </w:rPr>
              <w:t>市教育局、市发改委、市财政局、</w:t>
            </w:r>
          </w:p>
          <w:p>
            <w:pPr>
              <w:spacing w:line="300" w:lineRule="exact"/>
              <w:jc w:val="center"/>
              <w:rPr>
                <w:rFonts w:asciiTheme="minorEastAsia" w:hAnsiTheme="minorEastAsia"/>
                <w:sz w:val="24"/>
                <w:szCs w:val="24"/>
              </w:rPr>
            </w:pPr>
            <w:r>
              <w:rPr>
                <w:rFonts w:hint="eastAsia" w:asciiTheme="minorEastAsia" w:hAnsiTheme="minorEastAsia"/>
                <w:sz w:val="24"/>
                <w:szCs w:val="24"/>
              </w:rPr>
              <w:t>市人社局、各县（市）政府</w:t>
            </w:r>
          </w:p>
        </w:tc>
      </w:tr>
    </w:tbl>
    <w:p>
      <w:pPr>
        <w:spacing w:line="300" w:lineRule="exact"/>
        <w:jc w:val="both"/>
        <w:rPr>
          <w:rFonts w:ascii="仿宋_GB2312" w:eastAsia="仿宋_GB2312"/>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288250"/>
      <w:docPartObj>
        <w:docPartGallery w:val="autotext"/>
      </w:docPartObj>
    </w:sdtPr>
    <w:sdtContent>
      <w:p>
        <w:pPr>
          <w:pStyle w:val="3"/>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3E3E"/>
    <w:rsid w:val="00001943"/>
    <w:rsid w:val="0000446F"/>
    <w:rsid w:val="00005749"/>
    <w:rsid w:val="00032693"/>
    <w:rsid w:val="0003799E"/>
    <w:rsid w:val="00037A1D"/>
    <w:rsid w:val="00042DAA"/>
    <w:rsid w:val="00072BF1"/>
    <w:rsid w:val="00075351"/>
    <w:rsid w:val="000B1FAE"/>
    <w:rsid w:val="000B4EBA"/>
    <w:rsid w:val="000C27E5"/>
    <w:rsid w:val="000C6495"/>
    <w:rsid w:val="000D1E7F"/>
    <w:rsid w:val="001133BB"/>
    <w:rsid w:val="00117492"/>
    <w:rsid w:val="00122AC8"/>
    <w:rsid w:val="00135222"/>
    <w:rsid w:val="001465EC"/>
    <w:rsid w:val="00162471"/>
    <w:rsid w:val="0016799F"/>
    <w:rsid w:val="001703D1"/>
    <w:rsid w:val="00181BB1"/>
    <w:rsid w:val="001955E3"/>
    <w:rsid w:val="001C1379"/>
    <w:rsid w:val="001D2D5B"/>
    <w:rsid w:val="001D7FF6"/>
    <w:rsid w:val="001F7CA6"/>
    <w:rsid w:val="0021247B"/>
    <w:rsid w:val="0022762D"/>
    <w:rsid w:val="002304D4"/>
    <w:rsid w:val="00244776"/>
    <w:rsid w:val="0025725B"/>
    <w:rsid w:val="00266F4D"/>
    <w:rsid w:val="00267D36"/>
    <w:rsid w:val="00294750"/>
    <w:rsid w:val="002B2056"/>
    <w:rsid w:val="002B670D"/>
    <w:rsid w:val="002F67BB"/>
    <w:rsid w:val="00327ABB"/>
    <w:rsid w:val="003464B8"/>
    <w:rsid w:val="00353199"/>
    <w:rsid w:val="003746C1"/>
    <w:rsid w:val="003779BD"/>
    <w:rsid w:val="00380A38"/>
    <w:rsid w:val="003D5A93"/>
    <w:rsid w:val="003E10E5"/>
    <w:rsid w:val="003E6C86"/>
    <w:rsid w:val="003E77A4"/>
    <w:rsid w:val="003F67C5"/>
    <w:rsid w:val="00423A54"/>
    <w:rsid w:val="0042572E"/>
    <w:rsid w:val="004258E1"/>
    <w:rsid w:val="004330F5"/>
    <w:rsid w:val="00455429"/>
    <w:rsid w:val="00466730"/>
    <w:rsid w:val="00472861"/>
    <w:rsid w:val="004744E5"/>
    <w:rsid w:val="004A499B"/>
    <w:rsid w:val="004C5CBB"/>
    <w:rsid w:val="004D5BD7"/>
    <w:rsid w:val="004F6125"/>
    <w:rsid w:val="00503F80"/>
    <w:rsid w:val="00511FE3"/>
    <w:rsid w:val="00530569"/>
    <w:rsid w:val="005646C9"/>
    <w:rsid w:val="005677D6"/>
    <w:rsid w:val="005C065B"/>
    <w:rsid w:val="005C3DE5"/>
    <w:rsid w:val="005D0D7E"/>
    <w:rsid w:val="005F4F38"/>
    <w:rsid w:val="0060408F"/>
    <w:rsid w:val="00616AA9"/>
    <w:rsid w:val="00617137"/>
    <w:rsid w:val="00622CD0"/>
    <w:rsid w:val="00631668"/>
    <w:rsid w:val="006556C2"/>
    <w:rsid w:val="00665B96"/>
    <w:rsid w:val="00666296"/>
    <w:rsid w:val="00674825"/>
    <w:rsid w:val="006A0277"/>
    <w:rsid w:val="006A2DC1"/>
    <w:rsid w:val="006A4FF6"/>
    <w:rsid w:val="006B345B"/>
    <w:rsid w:val="006B7E79"/>
    <w:rsid w:val="006F5855"/>
    <w:rsid w:val="00707CD6"/>
    <w:rsid w:val="00726B4D"/>
    <w:rsid w:val="0074649D"/>
    <w:rsid w:val="00763DA7"/>
    <w:rsid w:val="00797AD2"/>
    <w:rsid w:val="007A1AFB"/>
    <w:rsid w:val="007A79F1"/>
    <w:rsid w:val="007B67FD"/>
    <w:rsid w:val="007E1E9A"/>
    <w:rsid w:val="007E3EC3"/>
    <w:rsid w:val="007F14E2"/>
    <w:rsid w:val="007F3F55"/>
    <w:rsid w:val="008142C9"/>
    <w:rsid w:val="00831B4C"/>
    <w:rsid w:val="00846E8C"/>
    <w:rsid w:val="008472CB"/>
    <w:rsid w:val="00873E3E"/>
    <w:rsid w:val="00897E60"/>
    <w:rsid w:val="008A7E1A"/>
    <w:rsid w:val="008B668E"/>
    <w:rsid w:val="008C7758"/>
    <w:rsid w:val="008D2FC5"/>
    <w:rsid w:val="008D7F57"/>
    <w:rsid w:val="008E509D"/>
    <w:rsid w:val="008F558A"/>
    <w:rsid w:val="00904ED6"/>
    <w:rsid w:val="00914CD9"/>
    <w:rsid w:val="00944BB2"/>
    <w:rsid w:val="009670EF"/>
    <w:rsid w:val="0096726E"/>
    <w:rsid w:val="00967594"/>
    <w:rsid w:val="009845BB"/>
    <w:rsid w:val="009A62DB"/>
    <w:rsid w:val="009B443F"/>
    <w:rsid w:val="00A058B4"/>
    <w:rsid w:val="00A244C7"/>
    <w:rsid w:val="00A37ECA"/>
    <w:rsid w:val="00A64257"/>
    <w:rsid w:val="00A859E5"/>
    <w:rsid w:val="00A94D5B"/>
    <w:rsid w:val="00AA69DD"/>
    <w:rsid w:val="00AC32E7"/>
    <w:rsid w:val="00AC6597"/>
    <w:rsid w:val="00AD4868"/>
    <w:rsid w:val="00AE5211"/>
    <w:rsid w:val="00B062D8"/>
    <w:rsid w:val="00B078B9"/>
    <w:rsid w:val="00B11962"/>
    <w:rsid w:val="00B5010E"/>
    <w:rsid w:val="00B53112"/>
    <w:rsid w:val="00B579DF"/>
    <w:rsid w:val="00B61541"/>
    <w:rsid w:val="00B77059"/>
    <w:rsid w:val="00B87036"/>
    <w:rsid w:val="00BA4E54"/>
    <w:rsid w:val="00BB0657"/>
    <w:rsid w:val="00BB2077"/>
    <w:rsid w:val="00BB429C"/>
    <w:rsid w:val="00BB6A44"/>
    <w:rsid w:val="00BB79F4"/>
    <w:rsid w:val="00BC6E16"/>
    <w:rsid w:val="00BF7173"/>
    <w:rsid w:val="00C10CB8"/>
    <w:rsid w:val="00C366CE"/>
    <w:rsid w:val="00C41846"/>
    <w:rsid w:val="00C905CD"/>
    <w:rsid w:val="00C9145B"/>
    <w:rsid w:val="00CA36DE"/>
    <w:rsid w:val="00CB0314"/>
    <w:rsid w:val="00CC090D"/>
    <w:rsid w:val="00CC20A5"/>
    <w:rsid w:val="00CE014F"/>
    <w:rsid w:val="00CE53A8"/>
    <w:rsid w:val="00CE5C0D"/>
    <w:rsid w:val="00D1254C"/>
    <w:rsid w:val="00D34925"/>
    <w:rsid w:val="00D463BA"/>
    <w:rsid w:val="00D82DA9"/>
    <w:rsid w:val="00D91FD3"/>
    <w:rsid w:val="00D92913"/>
    <w:rsid w:val="00D9480C"/>
    <w:rsid w:val="00DC205C"/>
    <w:rsid w:val="00E007E0"/>
    <w:rsid w:val="00E10A17"/>
    <w:rsid w:val="00E34501"/>
    <w:rsid w:val="00E40C07"/>
    <w:rsid w:val="00E44C18"/>
    <w:rsid w:val="00E54AB3"/>
    <w:rsid w:val="00EB1FA7"/>
    <w:rsid w:val="00EC0993"/>
    <w:rsid w:val="00EE2199"/>
    <w:rsid w:val="00F24494"/>
    <w:rsid w:val="00F3376F"/>
    <w:rsid w:val="00F34367"/>
    <w:rsid w:val="00F60479"/>
    <w:rsid w:val="00F640F7"/>
    <w:rsid w:val="00F65087"/>
    <w:rsid w:val="00F65B3E"/>
    <w:rsid w:val="00F675C3"/>
    <w:rsid w:val="00F72026"/>
    <w:rsid w:val="00F90E5D"/>
    <w:rsid w:val="00F927D0"/>
    <w:rsid w:val="00F93F2A"/>
    <w:rsid w:val="00F95106"/>
    <w:rsid w:val="00FA119E"/>
    <w:rsid w:val="00FA2E62"/>
    <w:rsid w:val="00FA5511"/>
    <w:rsid w:val="00FB02A9"/>
    <w:rsid w:val="00FD737C"/>
    <w:rsid w:val="00FE0B31"/>
    <w:rsid w:val="00FF678A"/>
    <w:rsid w:val="4FFCFE1D"/>
    <w:rsid w:val="537B7F65"/>
    <w:rsid w:val="6FFE4B5B"/>
    <w:rsid w:val="7385B9F1"/>
    <w:rsid w:val="7B0E44FB"/>
    <w:rsid w:val="B5DFA940"/>
    <w:rsid w:val="B5FB8A2A"/>
    <w:rsid w:val="BDFD7099"/>
    <w:rsid w:val="D7DBD0A3"/>
    <w:rsid w:val="EFBF29E4"/>
    <w:rsid w:val="F7FBC1E0"/>
    <w:rsid w:val="FB7F5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批注框文本 Char"/>
    <w:basedOn w:val="8"/>
    <w:link w:val="2"/>
    <w:semiHidden/>
    <w:qFormat/>
    <w:uiPriority w:val="99"/>
    <w:rPr>
      <w:sz w:val="18"/>
      <w:szCs w:val="18"/>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782</Words>
  <Characters>4464</Characters>
  <Lines>37</Lines>
  <Paragraphs>10</Paragraphs>
  <TotalTime>2</TotalTime>
  <ScaleCrop>false</ScaleCrop>
  <LinksUpToDate>false</LinksUpToDate>
  <CharactersWithSpaces>5236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2021-05-30T00:40:00Z</dcterms:created>
  <dc:creator>邵士宏</dc:creator>
  <cp:lastModifiedBy>thtf</cp:lastModifiedBy>
  <cp:lastPrinted>2021-04-23T23:49:00Z</cp:lastPrinted>
  <dcterms:modified xsi:type="dcterms:W3CDTF">2021-07-27T15:39:12Z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9782E4BC9B674BA193940FBACCAF50A7</vt:lpwstr>
  </property>
</Properties>
</file>